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2A" w:rsidRP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8"/>
          <w:szCs w:val="32"/>
        </w:rPr>
      </w:pPr>
      <w:r w:rsidRPr="005F452A">
        <w:rPr>
          <w:rFonts w:ascii="TimesNewRoman,Bold" w:hAnsi="TimesNewRoman,Bold" w:cs="TimesNewRoman,Bold"/>
          <w:b/>
          <w:bCs/>
          <w:sz w:val="34"/>
          <w:szCs w:val="28"/>
        </w:rPr>
        <w:t>OBRTNA TEHNIČKA ŠKOLA</w:t>
      </w:r>
    </w:p>
    <w:p w:rsidR="005F452A" w:rsidRP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2"/>
          <w:szCs w:val="44"/>
        </w:rPr>
      </w:pPr>
      <w:r w:rsidRPr="005F452A">
        <w:rPr>
          <w:rFonts w:ascii="TimesNewRoman,Bold" w:hAnsi="TimesNewRoman,Bold" w:cs="TimesNewRoman,Bold"/>
          <w:b/>
          <w:bCs/>
          <w:sz w:val="42"/>
          <w:szCs w:val="44"/>
        </w:rPr>
        <w:t>SPLIT</w:t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sz w:val="44"/>
          <w:szCs w:val="44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44"/>
          <w:szCs w:val="44"/>
        </w:rPr>
      </w:pPr>
      <w:r>
        <w:rPr>
          <w:rFonts w:ascii="TimesNewRoman,Bold" w:hAnsi="TimesNewRoman,Bold" w:cs="TimesNewRoman,Bold"/>
          <w:b/>
          <w:bCs/>
          <w:sz w:val="44"/>
          <w:szCs w:val="44"/>
        </w:rPr>
        <w:t>STRATEGIJA INTERNACIONALIZACIJE</w:t>
      </w:r>
    </w:p>
    <w:p w:rsidR="005F452A" w:rsidRDefault="00FE7591" w:rsidP="005F452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za razdoblje 2016</w:t>
      </w:r>
      <w:r w:rsidR="00DC0E05">
        <w:rPr>
          <w:rFonts w:ascii="TimesNewRoman,Bold" w:hAnsi="TimesNewRoman,Bold" w:cs="TimesNewRoman,Bold"/>
          <w:b/>
          <w:bCs/>
          <w:sz w:val="36"/>
          <w:szCs w:val="36"/>
        </w:rPr>
        <w:t>. - 2021</w:t>
      </w:r>
      <w:r w:rsidR="005F452A">
        <w:rPr>
          <w:rFonts w:ascii="TimesNewRoman,Bold" w:hAnsi="TimesNewRoman,Bold" w:cs="TimesNewRoman,Bold"/>
          <w:b/>
          <w:bCs/>
          <w:sz w:val="36"/>
          <w:szCs w:val="36"/>
        </w:rPr>
        <w:t>.</w:t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801074B" wp14:editId="1A818F6E">
            <wp:extent cx="1469015" cy="15482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9015" cy="15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071159" w:rsidRPr="005F452A" w:rsidRDefault="005F452A" w:rsidP="005F452A">
      <w:pPr>
        <w:autoSpaceDE w:val="0"/>
        <w:autoSpaceDN w:val="0"/>
        <w:adjustRightInd w:val="0"/>
        <w:ind w:left="2832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Split, </w:t>
      </w:r>
      <w:r w:rsidR="00FE7591">
        <w:rPr>
          <w:rFonts w:ascii="TimesNewRomanPSMT" w:hAnsi="TimesNewRomanPSMT" w:cs="TimesNewRomanPSMT"/>
          <w:sz w:val="28"/>
          <w:szCs w:val="28"/>
        </w:rPr>
        <w:t>prosinac</w:t>
      </w:r>
      <w:r>
        <w:rPr>
          <w:rFonts w:ascii="TimesNewRomanPSMT" w:hAnsi="TimesNewRomanPSMT" w:cs="TimesNewRomanPSMT"/>
          <w:sz w:val="28"/>
          <w:szCs w:val="28"/>
        </w:rPr>
        <w:t xml:space="preserve"> 2015.</w:t>
      </w:r>
    </w:p>
    <w:p w:rsidR="00071159" w:rsidRDefault="00071159" w:rsidP="00BE58EA">
      <w:pPr>
        <w:pStyle w:val="TOCNaslov"/>
      </w:pPr>
    </w:p>
    <w:p w:rsidR="005F452A" w:rsidRPr="005F452A" w:rsidRDefault="005F452A" w:rsidP="005F452A">
      <w:pPr>
        <w:autoSpaceDE w:val="0"/>
        <w:autoSpaceDN w:val="0"/>
        <w:adjustRightInd w:val="0"/>
        <w:ind w:left="2832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B324D5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FC15E8">
      <w:pPr>
        <w:autoSpaceDE w:val="0"/>
        <w:autoSpaceDN w:val="0"/>
        <w:adjustRightInd w:val="0"/>
        <w:ind w:left="2832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5F452A" w:rsidRPr="005B24E9" w:rsidRDefault="005F452A" w:rsidP="005B24E9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B24E9">
        <w:rPr>
          <w:rFonts w:ascii="TimesNewRomanPSMT" w:hAnsi="TimesNewRomanPSMT" w:cs="TimesNewRomanPSMT"/>
          <w:b/>
          <w:sz w:val="24"/>
          <w:szCs w:val="24"/>
        </w:rPr>
        <w:t>UVOD</w:t>
      </w:r>
    </w:p>
    <w:p w:rsidR="0041354E" w:rsidRDefault="0041354E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djeluje u skladu s temeljnim dokumentima koji definiraju strukturu i operativne procedure unutar škole. S obzirom da su većina zanimanja, za koja se obrazuju učenici u našoj školi, trogodišnja obrtnička JMO zanimanja, osim Zakona o odgoju i obrazovanju, za nas vrijedi i cijeli niz specifičnih zakona i pravilnika koji se odnose na vezane obrte. Statut škole je temeljni akt škole, a usklađen je sa svim zakonima i pravilnicima koje propisuje Ministarstvo znanosti i obrazovanja. Škola za svaku školsku godinu donosi Godišnji plan i program rada škole, kao i Školski kurikulum. Kao škola smo uključeni u sve obvezne procese i aktivnosti koje provode srednje škole. Proces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samovrednovanja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provodi tijekom posljednjih 5 godina i pokazuje trend boljitka škole u svim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proritetnim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područjima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samovrednovanja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Sudjelovanje u međunarodnim aktivnostima, te strategija internacionalizacije škole dio su razvojnog plana škole. </w:t>
      </w:r>
      <w:r w:rsidRPr="000367DE">
        <w:rPr>
          <w:rFonts w:ascii="TimesNewRomanPSMT" w:hAnsi="TimesNewRomanPSMT" w:cs="TimesNewRomanPSMT"/>
          <w:sz w:val="24"/>
          <w:szCs w:val="24"/>
        </w:rPr>
        <w:t>Školski kurikulum Obrtne tehničke škole obiluje projektnim aktivnostima u koje su uključeni učenici, nastavnici i roditelji. Provođenje projekta mobilnosti i sudjelovanje u međunarodnim projektima je sastavni dio školskog kurikuluma, te predstavlja važan dio „osobne iskaznice“ naše škole.</w:t>
      </w: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Pr="00FE7591" w:rsidRDefault="00FE7591" w:rsidP="00FE7591">
      <w:pPr>
        <w:ind w:right="-56"/>
        <w:jc w:val="left"/>
        <w:rPr>
          <w:rFonts w:ascii="TimesNewRomanPSMT" w:hAnsi="TimesNewRomanPSMT" w:cs="TimesNewRomanPSMT"/>
          <w:sz w:val="24"/>
          <w:szCs w:val="24"/>
        </w:rPr>
      </w:pPr>
      <w:r w:rsidRPr="00FE7591">
        <w:rPr>
          <w:rFonts w:ascii="TimesNewRomanPSMT" w:hAnsi="TimesNewRomanPSMT" w:cs="TimesNewRomanPSMT"/>
          <w:sz w:val="24"/>
          <w:szCs w:val="24"/>
        </w:rPr>
        <w:t>U strateško planiranje međunarodnih aktivnosti i izradu razvojnog plana međunarodnih aktivnosti uključeni su članovi školskog projektnog tima  i nastavnici koji su prethodnih godina bili uključeni u prip</w:t>
      </w:r>
      <w:r>
        <w:rPr>
          <w:rFonts w:ascii="TimesNewRomanPSMT" w:hAnsi="TimesNewRomanPSMT" w:cs="TimesNewRomanPSMT"/>
          <w:sz w:val="24"/>
          <w:szCs w:val="24"/>
        </w:rPr>
        <w:t>r</w:t>
      </w:r>
      <w:r w:rsidRPr="00FE7591">
        <w:rPr>
          <w:rFonts w:ascii="TimesNewRomanPSMT" w:hAnsi="TimesNewRomanPSMT" w:cs="TimesNewRomanPSMT"/>
          <w:sz w:val="24"/>
          <w:szCs w:val="24"/>
        </w:rPr>
        <w:t xml:space="preserve">emu učenika za projekte mobilnosti, ali i školsko Povjerenstvo za kvalitetu koje aktivno sudjeluju u procesu </w:t>
      </w:r>
      <w:proofErr w:type="spellStart"/>
      <w:r w:rsidRPr="00FE7591">
        <w:rPr>
          <w:rFonts w:ascii="TimesNewRomanPSMT" w:hAnsi="TimesNewRomanPSMT" w:cs="TimesNewRomanPSMT"/>
          <w:sz w:val="24"/>
          <w:szCs w:val="24"/>
        </w:rPr>
        <w:t>samovrednovanja</w:t>
      </w:r>
      <w:proofErr w:type="spellEnd"/>
      <w:r w:rsidRPr="00FE7591">
        <w:rPr>
          <w:rFonts w:ascii="TimesNewRomanPSMT" w:hAnsi="TimesNewRomanPSMT" w:cs="TimesNewRomanPSMT"/>
          <w:sz w:val="24"/>
          <w:szCs w:val="24"/>
        </w:rPr>
        <w:t xml:space="preserve"> ustanove. Svrha uključivanja većeg broja nastavnika u planiranje je upravo upoznavanje što većeg broja djelatnika s međunarodnim aktivnostima, kako bi te aktivnosti postale dio svakodnevnih školskih aktivnosti.</w:t>
      </w:r>
    </w:p>
    <w:p w:rsidR="00C87A48" w:rsidRDefault="00C87A48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C87A48" w:rsidRDefault="00C87A48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C87A48">
        <w:rPr>
          <w:rFonts w:ascii="TimesNewRomanPSMT" w:hAnsi="TimesNewRomanPSMT" w:cs="TimesNewRomanPSMT"/>
          <w:sz w:val="24"/>
          <w:szCs w:val="24"/>
        </w:rPr>
        <w:t xml:space="preserve">Tim za izradu strategije internacionalizacije bavio </w:t>
      </w:r>
      <w:r>
        <w:rPr>
          <w:rFonts w:ascii="TimesNewRomanPSMT" w:hAnsi="TimesNewRomanPSMT" w:cs="TimesNewRomanPSMT"/>
          <w:sz w:val="24"/>
          <w:szCs w:val="24"/>
        </w:rPr>
        <w:t xml:space="preserve">se </w:t>
      </w:r>
      <w:r w:rsidRPr="00C87A48">
        <w:rPr>
          <w:rFonts w:ascii="TimesNewRomanPSMT" w:hAnsi="TimesNewRomanPSMT" w:cs="TimesNewRomanPSMT"/>
          <w:sz w:val="24"/>
          <w:szCs w:val="24"/>
        </w:rPr>
        <w:t>analizom radnog okružja u školi. Detektirano je da međunarodna suradnja i sudjelovanje djelatnika u međunarodnim projektima rezultira pozitivnim promjenama u radnom okružju. Nastavnici koji sudjeluju u međunarodnim projektima stječu kompetencije koje koriste u svakodnevnom radu, ali ih i prenose kolegama, što pozitivno utječe na radno okruženje. Stručno usavršavanje nastavnika, osim samog usavršavanja stručnih znanja, trebalo bi uključivati i us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Pr="00C87A48">
        <w:rPr>
          <w:rFonts w:ascii="TimesNewRomanPSMT" w:hAnsi="TimesNewRomanPSMT" w:cs="TimesNewRomanPSMT"/>
          <w:sz w:val="24"/>
          <w:szCs w:val="24"/>
        </w:rPr>
        <w:t xml:space="preserve">vršavanje jezičnih kompetencija na engleskom jeziku, kao službenom jeziku Europske unije, te osposobljavanje nastavnika za rad u </w:t>
      </w:r>
      <w:proofErr w:type="spellStart"/>
      <w:r w:rsidRPr="00C87A48">
        <w:rPr>
          <w:rFonts w:ascii="TimesNewRomanPSMT" w:hAnsi="TimesNewRomanPSMT" w:cs="TimesNewRomanPSMT"/>
          <w:sz w:val="24"/>
          <w:szCs w:val="24"/>
        </w:rPr>
        <w:t>multikulturalnom</w:t>
      </w:r>
      <w:proofErr w:type="spellEnd"/>
      <w:r w:rsidRPr="00C87A48">
        <w:rPr>
          <w:rFonts w:ascii="TimesNewRomanPSMT" w:hAnsi="TimesNewRomanPSMT" w:cs="TimesNewRomanPSMT"/>
          <w:sz w:val="24"/>
          <w:szCs w:val="24"/>
        </w:rPr>
        <w:t xml:space="preserve"> okruženju. Za školu je važno stvoriti viziju o budućim projektima međunarodne suradnje, kako bi bili jasno postavljeni budući ciljevi i potaklo sudionike da ustraju u planiranim aktivnostima. </w:t>
      </w:r>
    </w:p>
    <w:p w:rsidR="00B66CF5" w:rsidRDefault="00B66CF5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Strategija internacionalizacije Obrtne tehničke škole određuje glavne pravce i strateške ciljeve međunarodnog djelovanja ško</w:t>
      </w:r>
      <w:r w:rsidR="00CE2FED">
        <w:rPr>
          <w:rFonts w:ascii="TimesNewRomanPSMT" w:hAnsi="TimesNewRomanPSMT" w:cs="TimesNewRomanPSMT"/>
          <w:sz w:val="24"/>
          <w:szCs w:val="24"/>
        </w:rPr>
        <w:t>le za razdoblje od 2016. do 2021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. godine. </w:t>
      </w: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FE759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Strategija internacionalizacije je usmjerena na postizanje međunarodne otvorenosti za strane učenike i nastavnike, te osiguranje preduvjeta za odlaznu mobilnost učenika, nastavnika i nenastavnog osoblja.</w:t>
      </w:r>
    </w:p>
    <w:p w:rsidR="00FE7591" w:rsidRDefault="00FE7591" w:rsidP="00C87A48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Default="00B324D5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Obrtna tehnička škola ima iza sebe iskustvo u prijavi i provođenju šest projekata mobilnosti učenika i jednog projekta partnerske suradnje u projektu transfera inovacija.  Bili smo prva škola na području cijele Dalmacije koja je dobila sredstva za projekt mobilnosti učenika, još 2009. godine.</w:t>
      </w:r>
    </w:p>
    <w:p w:rsidR="00B324D5" w:rsidRDefault="00B324D5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2006. godine, Obrtna tehnička škola je prvi put aplicirala za sredstva EU u projektu CARDS -“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Upgrading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vocational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education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training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schools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", ali nije bilo uspješno. 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U ožujku 2009. godine škola se prijavila na natječaj za projekt Leonardo da Vinci 2009.-"UČIMO, RADIMO, PUTUJMO" i dobila je financijsku potporu Agencije za mobilnost i programe EU za organizaciju mobilnosti tri učenika (zanimanje automehaničar) i nastavnika-pratitelja u Francusku. 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2010. godine škola je ponovno aplicirala i dobila potporu u sklopu projekta Leonardo da Vinci 2010.- "PUTOVANJEM DO ZNANJA" za 10 učenika (5 automehaničara i 5 elektroinstalatera) i dva nastavnika pratitelja, koji su boravili dva tjedna u Francuskoj,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Meauxu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>.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2011. godine odobren je još jedan projekt mobilnosti  u Francusku,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Meaux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- Leonardo da Vinci 2011. pod nazivom "UGRABI NOVE IZAZOVE!" za 10 učenika (5 automehaničara i 5 elektroinstalatera) i 2 nastavnika. 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U projektu Leonardo da Vinci 2012. pod nazivom "TIMSKA IZRADA AUTOMOBILA BUDUĆNOSTI" 10 učenika (5 autoelektričara, 2 automehaničara, 1 autolimar i 2 elektromehaničara) i  jedan nastavnik-pratitelj boravili su </w:t>
      </w:r>
      <w:r w:rsidR="001D6412">
        <w:rPr>
          <w:rFonts w:ascii="TimesNewRomanPSMT" w:hAnsi="TimesNewRomanPSMT" w:cs="TimesNewRomanPSMT"/>
          <w:sz w:val="24"/>
          <w:szCs w:val="24"/>
        </w:rPr>
        <w:t xml:space="preserve">dva tjedna </w:t>
      </w:r>
      <w:r w:rsidRPr="00B324D5">
        <w:rPr>
          <w:rFonts w:ascii="TimesNewRomanPSMT" w:hAnsi="TimesNewRomanPSMT" w:cs="TimesNewRomanPSMT"/>
          <w:sz w:val="24"/>
          <w:szCs w:val="24"/>
        </w:rPr>
        <w:t xml:space="preserve">na stručnoj praksi u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Leipzigu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u Njemačkoj, gdje su izrađivali električni automobil- jednosjed.</w:t>
      </w:r>
    </w:p>
    <w:p w:rsidR="00906686" w:rsidRDefault="00906686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U sklopu projekta Leonardo da Vinci transfer inovacija 2012.-2014. Obrtna tehnička škola po prvi put sudjeluje kao partner u projektu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 </w:t>
      </w:r>
      <w:r w:rsidRPr="00B324D5">
        <w:rPr>
          <w:rFonts w:ascii="TimesNewRomanPSMT" w:hAnsi="TimesNewRomanPSMT" w:cs="TimesNewRomanPSMT"/>
          <w:sz w:val="24"/>
          <w:szCs w:val="24"/>
        </w:rPr>
        <w:t xml:space="preserve">„SUPPORTING VOCATIONAL TEACHERS AND TRAINERS IN e-LEARNING (e)VET2EDU”, u kojem je nositelj projekta Centre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e-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Learning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AGH –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University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Science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Technology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Kraków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Poland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). Projekt traje 24 mjeseca, od 1.10.2012.-30.9.2014., a cilj mu je ojačati uvođenje suvremenih i inovativnih sadržaja i obilježja u nastavu u strukovnim školama s ciljem osiguranja njihove prilagodljivosti na tržištu rada, te osnažiti informatičko-komunikacijske kompetencije nastavnika u svrhu uvođenja suvremenih, na učenika usmjerenih, pristupa nastavi. </w:t>
      </w:r>
    </w:p>
    <w:p w:rsidR="005B24E9" w:rsidRDefault="005B24E9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C87A48" w:rsidRDefault="00C87A48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E7591" w:rsidRDefault="00FE7591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 xml:space="preserve">U projektu mobilnosti učenika pod nazivom "ZNANJE JE BOGATSTVO!"  u sklopu projekta ERASMUS+ 2014. 15 učenika i 2 nastavnika-pratitelja boravili su 2 tjedna u Irskoj, 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Corku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 xml:space="preserve">,  gdje su učenici 5 različitih zanimanja (automehaničari, autolimari, autoelektričari, stolari i elektroničari-mehaničari) u specijaliziranim radionicama obavljali stručnu praksu. </w:t>
      </w:r>
    </w:p>
    <w:p w:rsid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je bila </w:t>
      </w:r>
      <w:r w:rsidR="00E12AB9">
        <w:rPr>
          <w:rFonts w:ascii="TimesNewRomanPSMT" w:hAnsi="TimesNewRomanPSMT" w:cs="TimesNewRomanPSMT"/>
          <w:sz w:val="24"/>
          <w:szCs w:val="24"/>
        </w:rPr>
        <w:t>organizacija</w:t>
      </w:r>
      <w:r>
        <w:rPr>
          <w:rFonts w:ascii="TimesNewRomanPSMT" w:hAnsi="TimesNewRomanPSMT" w:cs="TimesNewRomanPSMT"/>
          <w:sz w:val="24"/>
          <w:szCs w:val="24"/>
        </w:rPr>
        <w:t xml:space="preserve">-primatelj u projekt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Erasmus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+2015. za 8 nastavnika i 3 učenika iz francuske škole iz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Rioma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Učenici su boravili tri tjedna na stručnoj praksi, a nastavnici </w:t>
      </w:r>
      <w:r w:rsidR="00E12AB9">
        <w:rPr>
          <w:rFonts w:ascii="TimesNewRomanPSMT" w:hAnsi="TimesNewRomanPSMT" w:cs="TimesNewRomanPSMT"/>
          <w:sz w:val="24"/>
          <w:szCs w:val="24"/>
        </w:rPr>
        <w:t>po tjedan dana pratili nastavu i aktivnosti u našoj školi.</w:t>
      </w:r>
    </w:p>
    <w:p w:rsidR="00B324D5" w:rsidRP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324D5" w:rsidRDefault="00B324D5" w:rsidP="00B324D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B324D5">
        <w:rPr>
          <w:rFonts w:ascii="TimesNewRomanPSMT" w:hAnsi="TimesNewRomanPSMT" w:cs="TimesNewRomanPSMT"/>
          <w:sz w:val="24"/>
          <w:szCs w:val="24"/>
        </w:rPr>
        <w:t>U tijeku je projekt ERASMUS+2015 "LEARNING THROUGH ACTIVITY IS FUN!" u sklopu kojeg kroz dva toka mobilnosti učenici borav</w:t>
      </w:r>
      <w:r>
        <w:rPr>
          <w:rFonts w:ascii="TimesNewRomanPSMT" w:hAnsi="TimesNewRomanPSMT" w:cs="TimesNewRomanPSMT"/>
          <w:sz w:val="24"/>
          <w:szCs w:val="24"/>
        </w:rPr>
        <w:t>e</w:t>
      </w:r>
      <w:r w:rsidRPr="00B324D5">
        <w:rPr>
          <w:rFonts w:ascii="TimesNewRomanPSMT" w:hAnsi="TimesNewRomanPSMT" w:cs="TimesNewRomanPSMT"/>
          <w:sz w:val="24"/>
          <w:szCs w:val="24"/>
        </w:rPr>
        <w:t xml:space="preserve"> na dvotjednoj stručnoj praksi u Njemačkoj (</w:t>
      </w:r>
      <w:proofErr w:type="spellStart"/>
      <w:r w:rsidRPr="00B324D5">
        <w:rPr>
          <w:rFonts w:ascii="TimesNewRomanPSMT" w:hAnsi="TimesNewRomanPSMT" w:cs="TimesNewRomanPSMT"/>
          <w:sz w:val="24"/>
          <w:szCs w:val="24"/>
        </w:rPr>
        <w:t>Kielu</w:t>
      </w:r>
      <w:proofErr w:type="spellEnd"/>
      <w:r w:rsidRPr="00B324D5">
        <w:rPr>
          <w:rFonts w:ascii="TimesNewRomanPSMT" w:hAnsi="TimesNewRomanPSMT" w:cs="TimesNewRomanPSMT"/>
          <w:sz w:val="24"/>
          <w:szCs w:val="24"/>
        </w:rPr>
        <w:t>) i Španjolskoj (Sevilli). U projektu sudjel</w:t>
      </w:r>
      <w:r>
        <w:rPr>
          <w:rFonts w:ascii="TimesNewRomanPSMT" w:hAnsi="TimesNewRomanPSMT" w:cs="TimesNewRomanPSMT"/>
          <w:sz w:val="24"/>
          <w:szCs w:val="24"/>
        </w:rPr>
        <w:t>uje</w:t>
      </w:r>
      <w:r w:rsidRPr="00B324D5">
        <w:rPr>
          <w:rFonts w:ascii="TimesNewRomanPSMT" w:hAnsi="TimesNewRomanPSMT" w:cs="TimesNewRomanPSMT"/>
          <w:sz w:val="24"/>
          <w:szCs w:val="24"/>
        </w:rPr>
        <w:t xml:space="preserve"> ukupno 30 učenika i 4 nastavnika. </w:t>
      </w:r>
    </w:p>
    <w:p w:rsidR="001D6412" w:rsidRDefault="001D6412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Pr="005B24E9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 w:rsidRPr="005B24E9">
        <w:rPr>
          <w:rFonts w:ascii="TimesNewRomanPSMT" w:hAnsi="TimesNewRomanPSMT" w:cs="TimesNewRomanPSMT"/>
          <w:b/>
          <w:sz w:val="24"/>
          <w:szCs w:val="24"/>
        </w:rPr>
        <w:t>2. POLAZIŠTA STRATEGIJE</w:t>
      </w:r>
      <w:r w:rsidR="00361AF0" w:rsidRPr="005B24E9">
        <w:rPr>
          <w:rFonts w:ascii="TimesNewRomanPSMT" w:hAnsi="TimesNewRomanPSMT" w:cs="TimesNewRomanPSMT"/>
          <w:b/>
          <w:sz w:val="24"/>
          <w:szCs w:val="24"/>
        </w:rPr>
        <w:t xml:space="preserve"> INTERNACIONALIZACIJE</w:t>
      </w:r>
    </w:p>
    <w:p w:rsidR="004A0445" w:rsidRDefault="004A0445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2.1. </w:t>
      </w:r>
      <w:r w:rsidR="00FB31B9">
        <w:rPr>
          <w:rFonts w:ascii="TimesNewRomanPSMT" w:hAnsi="TimesNewRomanPSMT" w:cs="TimesNewRomanPSMT"/>
          <w:b/>
          <w:sz w:val="24"/>
          <w:szCs w:val="24"/>
        </w:rPr>
        <w:t>Misija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61AF0" w:rsidRPr="00361AF0">
        <w:rPr>
          <w:rFonts w:ascii="TimesNewRomanPSMT" w:hAnsi="TimesNewRomanPSMT" w:cs="TimesNewRomanPSMT"/>
          <w:sz w:val="24"/>
          <w:szCs w:val="24"/>
        </w:rPr>
        <w:t>škole u području međunarodne suradnje</w:t>
      </w:r>
    </w:p>
    <w:p w:rsidR="004A0445" w:rsidRDefault="004A0445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57959" w:rsidRDefault="004A0445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će postati prepoznata kao </w:t>
      </w:r>
      <w:r w:rsidR="00157959">
        <w:rPr>
          <w:rFonts w:ascii="TimesNewRomanPSMT" w:hAnsi="TimesNewRomanPSMT" w:cs="TimesNewRomanPSMT"/>
          <w:sz w:val="24"/>
          <w:szCs w:val="24"/>
        </w:rPr>
        <w:t xml:space="preserve">centar izvrsnosti u kojem se </w:t>
      </w:r>
      <w:r w:rsidR="00361AF0" w:rsidRPr="00361AF0">
        <w:rPr>
          <w:rFonts w:ascii="TimesNewRomanPSMT" w:hAnsi="TimesNewRomanPSMT" w:cs="TimesNewRomanPSMT"/>
          <w:sz w:val="24"/>
          <w:szCs w:val="24"/>
        </w:rPr>
        <w:t xml:space="preserve">umrežavanjem sa sličnim obrazovnim međunarodnim institucijama, te </w:t>
      </w:r>
      <w:r w:rsidR="00157959">
        <w:rPr>
          <w:rFonts w:ascii="TimesNewRomanPSMT" w:hAnsi="TimesNewRomanPSMT" w:cs="TimesNewRomanPSMT"/>
          <w:sz w:val="24"/>
          <w:szCs w:val="24"/>
        </w:rPr>
        <w:t>kroz sudjelovanje u međunarodnim projektima:</w:t>
      </w:r>
    </w:p>
    <w:p w:rsidR="0001393C" w:rsidRDefault="00157959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="0001393C" w:rsidRPr="0001393C">
        <w:t xml:space="preserve"> </w:t>
      </w:r>
      <w:r w:rsidR="00361AF0">
        <w:rPr>
          <w:rFonts w:ascii="TimesNewRomanPSMT" w:hAnsi="TimesNewRomanPSMT" w:cs="TimesNewRomanPSMT"/>
          <w:sz w:val="24"/>
          <w:szCs w:val="24"/>
        </w:rPr>
        <w:t>učenicima</w:t>
      </w:r>
      <w:r w:rsidR="0001393C">
        <w:rPr>
          <w:rFonts w:ascii="TimesNewRomanPSMT" w:hAnsi="TimesNewRomanPSMT" w:cs="TimesNewRomanPSMT"/>
          <w:sz w:val="24"/>
          <w:szCs w:val="24"/>
        </w:rPr>
        <w:t xml:space="preserve"> omoguć</w:t>
      </w:r>
      <w:r w:rsidR="00361AF0">
        <w:rPr>
          <w:rFonts w:ascii="TimesNewRomanPSMT" w:hAnsi="TimesNewRomanPSMT" w:cs="TimesNewRomanPSMT"/>
          <w:sz w:val="24"/>
          <w:szCs w:val="24"/>
        </w:rPr>
        <w:t>ava</w:t>
      </w:r>
      <w:r w:rsidR="0001393C">
        <w:rPr>
          <w:rFonts w:ascii="TimesNewRomanPSMT" w:hAnsi="TimesNewRomanPSMT" w:cs="TimesNewRomanPSMT"/>
          <w:sz w:val="24"/>
          <w:szCs w:val="24"/>
        </w:rPr>
        <w:t xml:space="preserve"> </w:t>
      </w:r>
      <w:r w:rsidR="0001393C" w:rsidRPr="0001393C">
        <w:rPr>
          <w:rFonts w:ascii="TimesNewRomanPSMT" w:hAnsi="TimesNewRomanPSMT" w:cs="TimesNewRomanPSMT"/>
          <w:sz w:val="24"/>
          <w:szCs w:val="24"/>
        </w:rPr>
        <w:t xml:space="preserve">usvajanje znanja i vještina koja će ih učiniti konkurentnima na tržištu rada </w:t>
      </w:r>
    </w:p>
    <w:p w:rsidR="0001393C" w:rsidRDefault="0001393C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01393C">
        <w:rPr>
          <w:rFonts w:ascii="TimesNewRomanPSMT" w:hAnsi="TimesNewRomanPSMT" w:cs="TimesNewRomanPSMT"/>
          <w:sz w:val="24"/>
          <w:szCs w:val="24"/>
        </w:rPr>
        <w:t>osposobljava</w:t>
      </w:r>
      <w:r w:rsidR="00361AF0">
        <w:rPr>
          <w:rFonts w:ascii="TimesNewRomanPSMT" w:hAnsi="TimesNewRomanPSMT" w:cs="TimesNewRomanPSMT"/>
          <w:sz w:val="24"/>
          <w:szCs w:val="24"/>
        </w:rPr>
        <w:t xml:space="preserve"> učenike i nastavnike</w:t>
      </w:r>
      <w:r w:rsidRPr="0001393C">
        <w:rPr>
          <w:rFonts w:ascii="TimesNewRomanPSMT" w:hAnsi="TimesNewRomanPSMT" w:cs="TimesNewRomanPSMT"/>
          <w:sz w:val="24"/>
          <w:szCs w:val="24"/>
        </w:rPr>
        <w:t xml:space="preserve"> za </w:t>
      </w:r>
      <w:proofErr w:type="spellStart"/>
      <w:r w:rsidRPr="0001393C">
        <w:rPr>
          <w:rFonts w:ascii="TimesNewRomanPSMT" w:hAnsi="TimesNewRomanPSMT" w:cs="TimesNewRomanPSMT"/>
          <w:sz w:val="24"/>
          <w:szCs w:val="24"/>
        </w:rPr>
        <w:t>cjeloživotno</w:t>
      </w:r>
      <w:proofErr w:type="spellEnd"/>
      <w:r w:rsidRPr="0001393C">
        <w:rPr>
          <w:rFonts w:ascii="TimesNewRomanPSMT" w:hAnsi="TimesNewRomanPSMT" w:cs="TimesNewRomanPSMT"/>
          <w:sz w:val="24"/>
          <w:szCs w:val="24"/>
        </w:rPr>
        <w:t xml:space="preserve"> učenje</w:t>
      </w:r>
    </w:p>
    <w:p w:rsidR="004A0445" w:rsidRPr="00137A72" w:rsidRDefault="00137A72" w:rsidP="0015795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37A72">
        <w:rPr>
          <w:rFonts w:ascii="TimesNewRomanPSMT" w:hAnsi="TimesNewRomanPSMT" w:cs="TimesNewRomanPSMT"/>
          <w:sz w:val="24"/>
          <w:szCs w:val="24"/>
        </w:rPr>
        <w:t>-</w:t>
      </w:r>
      <w:r w:rsidR="00361AF0" w:rsidRPr="00361AF0">
        <w:rPr>
          <w:rFonts w:ascii="TimesNewRomanPSMT" w:hAnsi="TimesNewRomanPSMT" w:cs="TimesNewRomanPSMT"/>
          <w:sz w:val="24"/>
          <w:szCs w:val="24"/>
        </w:rPr>
        <w:t>omogućava</w:t>
      </w:r>
      <w:r w:rsidR="00361AF0" w:rsidRPr="00137A72">
        <w:rPr>
          <w:rFonts w:ascii="TimesNewRomanPSMT" w:hAnsi="TimesNewRomanPSMT" w:cs="TimesNewRomanPSMT"/>
          <w:sz w:val="24"/>
          <w:szCs w:val="24"/>
        </w:rPr>
        <w:t xml:space="preserve"> </w:t>
      </w:r>
      <w:r w:rsidR="00157959" w:rsidRPr="00157959">
        <w:rPr>
          <w:rFonts w:ascii="TimesNewRomanPSMT" w:hAnsi="TimesNewRomanPSMT" w:cs="TimesNewRomanPSMT"/>
          <w:sz w:val="24"/>
          <w:szCs w:val="24"/>
        </w:rPr>
        <w:t>kon</w:t>
      </w:r>
      <w:r w:rsidR="00361AF0">
        <w:rPr>
          <w:rFonts w:ascii="TimesNewRomanPSMT" w:hAnsi="TimesNewRomanPSMT" w:cs="TimesNewRomanPSMT"/>
          <w:sz w:val="24"/>
          <w:szCs w:val="24"/>
        </w:rPr>
        <w:t>tinuirano stručno usavršavanje učenika i nastavnika.</w:t>
      </w:r>
    </w:p>
    <w:p w:rsidR="00FB31B9" w:rsidRDefault="00FB31B9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361AF0" w:rsidRDefault="00FB31B9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U tom smislu, misija naše škole</w:t>
      </w:r>
      <w:r w:rsidR="00EB5037">
        <w:rPr>
          <w:rFonts w:ascii="TimesNewRomanPSMT" w:hAnsi="TimesNewRomanPSMT" w:cs="TimesNewRomanPSMT"/>
          <w:sz w:val="24"/>
          <w:szCs w:val="24"/>
        </w:rPr>
        <w:t xml:space="preserve"> je  posjedovanje jedinstvenih stručnih znanja i kompetencija</w:t>
      </w:r>
      <w:r w:rsidRPr="00FB31B9">
        <w:rPr>
          <w:rFonts w:ascii="TimesNewRomanPSMT" w:hAnsi="TimesNewRomanPSMT" w:cs="TimesNewRomanPSMT"/>
          <w:sz w:val="24"/>
          <w:szCs w:val="24"/>
        </w:rPr>
        <w:t>. Time bi naša škola postala konkurentna na tržištu i prepoznata kao stručna od strane naših korisnika.</w:t>
      </w:r>
    </w:p>
    <w:p w:rsidR="00FB31B9" w:rsidRDefault="00EB5037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EB5037">
        <w:rPr>
          <w:rFonts w:ascii="TimesNewRomanPSMT" w:hAnsi="TimesNewRomanPSMT" w:cs="TimesNewRomanPSMT"/>
          <w:sz w:val="24"/>
          <w:szCs w:val="24"/>
        </w:rPr>
        <w:t>Naša misija proizlazi iz vrijednosti koje smatramo važnima, a to su prije svega kvalitetno strukovno obrazovanje i poučavanje kojim naši učenici nakon završetka školovanja mogu konkurirati na međunarodnom tržištu rada.</w:t>
      </w:r>
    </w:p>
    <w:p w:rsidR="001B08E1" w:rsidRPr="0001393C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A0445" w:rsidRDefault="004A0445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E58EA" w:rsidRDefault="00BE58EA" w:rsidP="004A044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A0445" w:rsidRDefault="00157959" w:rsidP="004A0445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57959">
        <w:rPr>
          <w:rFonts w:ascii="TimesNewRomanPSMT" w:hAnsi="TimesNewRomanPSMT" w:cs="TimesNewRomanPSMT"/>
          <w:sz w:val="24"/>
          <w:szCs w:val="24"/>
        </w:rPr>
        <w:t xml:space="preserve">2.2. </w:t>
      </w:r>
      <w:r w:rsidR="00FB31B9">
        <w:rPr>
          <w:rFonts w:ascii="TimesNewRomanPSMT" w:hAnsi="TimesNewRomanPSMT" w:cs="TimesNewRomanPSMT"/>
          <w:b/>
          <w:sz w:val="24"/>
          <w:szCs w:val="24"/>
        </w:rPr>
        <w:t>Vizija</w:t>
      </w:r>
      <w:r w:rsidR="004A0445" w:rsidRPr="00157959">
        <w:rPr>
          <w:rFonts w:ascii="TimesNewRomanPSMT" w:hAnsi="TimesNewRomanPSMT" w:cs="TimesNewRomanPSMT"/>
          <w:sz w:val="24"/>
          <w:szCs w:val="24"/>
        </w:rPr>
        <w:t xml:space="preserve"> škole u području međunarodne suradnje</w:t>
      </w:r>
    </w:p>
    <w:p w:rsid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Vizija Obrtne tehničke škole je da u budućnosti postane centar izvrsnosti za sve učenike i djelatnike.</w:t>
      </w:r>
      <w:r w:rsidR="00FB31B9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D4BB0" w:rsidRDefault="005D4BB0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Da bi se navedena vizija ostvarila želja nam je: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-opremiti školske učionice i radionice za izvođenje praktične nastave novim instrumentima i tehničkim pomagalima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-razviti kvalitetnu suradnju sa srodnim školama u zemlji i inozemstvu</w:t>
      </w:r>
    </w:p>
    <w:p w:rsidR="00BE58EA" w:rsidRDefault="00BE58EA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 xml:space="preserve">-uključivati nastavnike i učenike u </w:t>
      </w:r>
      <w:r w:rsidR="00FB31B9">
        <w:rPr>
          <w:rFonts w:ascii="TimesNewRomanPSMT" w:hAnsi="TimesNewRomanPSMT" w:cs="TimesNewRomanPSMT"/>
          <w:sz w:val="24"/>
          <w:szCs w:val="24"/>
        </w:rPr>
        <w:t xml:space="preserve">međunarodne </w:t>
      </w:r>
      <w:r w:rsidRPr="001B08E1">
        <w:rPr>
          <w:rFonts w:ascii="TimesNewRomanPSMT" w:hAnsi="TimesNewRomanPSMT" w:cs="TimesNewRomanPSMT"/>
          <w:sz w:val="24"/>
          <w:szCs w:val="24"/>
        </w:rPr>
        <w:t>projekte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-osposobiti naše učenike za konkurentno i kompetitivno sudjelovanje na tržištu ra</w:t>
      </w:r>
      <w:r w:rsidR="00C87A48">
        <w:rPr>
          <w:rFonts w:ascii="TimesNewRomanPSMT" w:hAnsi="TimesNewRomanPSMT" w:cs="TimesNewRomanPSMT"/>
          <w:sz w:val="24"/>
          <w:szCs w:val="24"/>
        </w:rPr>
        <w:t>da, sukladno njegovim potrebama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-ponuditi moderne i inovativne obrazovne programe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 i sadržaje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 xml:space="preserve">-omogućiti stalno usavršavanje </w:t>
      </w:r>
      <w:r w:rsidR="00C87A48">
        <w:rPr>
          <w:rFonts w:ascii="TimesNewRomanPSMT" w:hAnsi="TimesNewRomanPSMT" w:cs="TimesNewRomanPSMT"/>
          <w:sz w:val="24"/>
          <w:szCs w:val="24"/>
        </w:rPr>
        <w:t>i napredovanje naših nastavnika</w:t>
      </w:r>
      <w:r w:rsidR="00EB5037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B08E1">
        <w:rPr>
          <w:rFonts w:ascii="TimesNewRomanPSMT" w:hAnsi="TimesNewRomanPSMT" w:cs="TimesNewRomanPSMT"/>
          <w:sz w:val="24"/>
          <w:szCs w:val="24"/>
        </w:rPr>
        <w:t>-poticati osobni razvoj svakoga učenika, promicati kre</w:t>
      </w:r>
      <w:r w:rsidR="00137A72">
        <w:rPr>
          <w:rFonts w:ascii="TimesNewRomanPSMT" w:hAnsi="TimesNewRomanPSMT" w:cs="TimesNewRomanPSMT"/>
          <w:sz w:val="24"/>
          <w:szCs w:val="24"/>
        </w:rPr>
        <w:t>a</w:t>
      </w:r>
      <w:r w:rsidRPr="001B08E1">
        <w:rPr>
          <w:rFonts w:ascii="TimesNewRomanPSMT" w:hAnsi="TimesNewRomanPSMT" w:cs="TimesNewRomanPSMT"/>
          <w:sz w:val="24"/>
          <w:szCs w:val="24"/>
        </w:rPr>
        <w:t>tivnost i usvajanje humanih vrednota.</w:t>
      </w:r>
    </w:p>
    <w:p w:rsidR="001B08E1" w:rsidRPr="001B08E1" w:rsidRDefault="001B08E1" w:rsidP="001B08E1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D4BB0" w:rsidRDefault="00FB31B9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Dakle, naša vizija je stvaranje moderne i otvorene strukovne škole, koja pruža i učenicima i nastavnicima mogućnosti usvajanja ili nadogradnje postojećih kompetencija.</w:t>
      </w:r>
    </w:p>
    <w:p w:rsidR="00EB5037" w:rsidRDefault="00EB5037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EB5037" w:rsidRDefault="00EB5037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4488F" w:rsidRPr="00B4488F" w:rsidRDefault="00FC15E8" w:rsidP="00B4488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2.3</w:t>
      </w:r>
      <w:r w:rsidR="005D4BB0">
        <w:rPr>
          <w:rFonts w:ascii="TimesNewRomanPSMT" w:hAnsi="TimesNewRomanPSMT" w:cs="TimesNewRomanPSMT"/>
          <w:sz w:val="24"/>
          <w:szCs w:val="24"/>
        </w:rPr>
        <w:t xml:space="preserve">. </w:t>
      </w:r>
      <w:r w:rsidRPr="00FC15E8">
        <w:rPr>
          <w:rFonts w:ascii="TimesNewRomanPSMT" w:hAnsi="TimesNewRomanPSMT" w:cs="TimesNewRomanPSMT"/>
          <w:b/>
          <w:sz w:val="24"/>
          <w:szCs w:val="24"/>
        </w:rPr>
        <w:t>Vrijednosti</w:t>
      </w:r>
      <w:r>
        <w:rPr>
          <w:rFonts w:ascii="TimesNewRomanPSMT" w:hAnsi="TimesNewRomanPSMT" w:cs="TimesNewRomanPSMT"/>
          <w:sz w:val="24"/>
          <w:szCs w:val="24"/>
        </w:rPr>
        <w:t xml:space="preserve"> škole </w:t>
      </w:r>
      <w:r w:rsidRPr="00157959">
        <w:rPr>
          <w:rFonts w:ascii="TimesNewRomanPSMT" w:hAnsi="TimesNewRomanPSMT" w:cs="TimesNewRomanPSMT"/>
          <w:sz w:val="24"/>
          <w:szCs w:val="24"/>
        </w:rPr>
        <w:t>u području međunarodne suradnje</w:t>
      </w: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>Izvrsnost</w:t>
      </w:r>
    </w:p>
    <w:p w:rsidR="005D4BB0" w:rsidRPr="005D4BB0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 xml:space="preserve">Kroz međunarodne aktivnosti </w:t>
      </w:r>
      <w:r>
        <w:rPr>
          <w:rFonts w:ascii="TimesNewRomanPSMT" w:hAnsi="TimesNewRomanPSMT" w:cs="TimesNewRomanPSMT"/>
          <w:sz w:val="24"/>
          <w:szCs w:val="24"/>
        </w:rPr>
        <w:t xml:space="preserve">Obrtna tehnička škola </w:t>
      </w:r>
      <w:r w:rsidR="00C87A48">
        <w:rPr>
          <w:rFonts w:ascii="TimesNewRomanPSMT" w:hAnsi="TimesNewRomanPSMT" w:cs="TimesNewRomanPSMT"/>
          <w:sz w:val="24"/>
          <w:szCs w:val="24"/>
        </w:rPr>
        <w:t xml:space="preserve">nastoji svojim nastavnicima </w:t>
      </w:r>
      <w:r>
        <w:rPr>
          <w:rFonts w:ascii="TimesNewRomanPSMT" w:hAnsi="TimesNewRomanPSMT" w:cs="TimesNewRomanPSMT"/>
          <w:sz w:val="24"/>
          <w:szCs w:val="24"/>
        </w:rPr>
        <w:t xml:space="preserve">osigurati uvjete 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za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cjeloživotno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učenje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, a </w:t>
      </w:r>
      <w:r w:rsidR="00B4488F">
        <w:rPr>
          <w:rFonts w:ascii="TimesNewRomanPSMT" w:hAnsi="TimesNewRomanPSMT" w:cs="TimesNewRomanPSMT"/>
          <w:sz w:val="24"/>
          <w:szCs w:val="24"/>
        </w:rPr>
        <w:t>učenicima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stjecanje znanja, vješt</w:t>
      </w:r>
      <w:r>
        <w:rPr>
          <w:rFonts w:ascii="TimesNewRomanPSMT" w:hAnsi="TimesNewRomanPSMT" w:cs="TimesNewRomanPSMT"/>
          <w:sz w:val="24"/>
          <w:szCs w:val="24"/>
        </w:rPr>
        <w:t>ina i kompetencija s kojima će,</w:t>
      </w:r>
      <w:r w:rsidRPr="00906686">
        <w:rPr>
          <w:rFonts w:ascii="TimesNewRomanPSMT" w:hAnsi="TimesNewRomanPSMT" w:cs="TimesNewRomanPSMT"/>
          <w:sz w:val="24"/>
          <w:szCs w:val="24"/>
        </w:rPr>
        <w:t>kao ravnopravni članovi demokratskog društva biti konkurentni, n</w:t>
      </w:r>
      <w:r>
        <w:rPr>
          <w:rFonts w:ascii="TimesNewRomanPSMT" w:hAnsi="TimesNewRomanPSMT" w:cs="TimesNewRomanPSMT"/>
          <w:sz w:val="24"/>
          <w:szCs w:val="24"/>
        </w:rPr>
        <w:t xml:space="preserve">a Europskom i globalnom tržištu </w:t>
      </w:r>
      <w:r w:rsidRPr="00906686">
        <w:rPr>
          <w:rFonts w:ascii="TimesNewRomanPSMT" w:hAnsi="TimesNewRomanPSMT" w:cs="TimesNewRomanPSMT"/>
          <w:sz w:val="24"/>
          <w:szCs w:val="24"/>
        </w:rPr>
        <w:t>rada.</w:t>
      </w:r>
    </w:p>
    <w:p w:rsidR="00FB31B9" w:rsidRPr="00FB31B9" w:rsidRDefault="00FB31B9" w:rsidP="00FB31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Međunarodno djelovanje Obrtne tehničke škole kroz aktivnosti mobilnost učenika i nastavnika doprinosi izvrsnosti, a osobito lokalnoj/regionalnoj/nacionalnoj/</w:t>
      </w:r>
    </w:p>
    <w:p w:rsidR="00FB31B9" w:rsidRPr="00906686" w:rsidRDefault="00FB31B9" w:rsidP="00FB31B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FB31B9">
        <w:rPr>
          <w:rFonts w:ascii="TimesNewRomanPSMT" w:hAnsi="TimesNewRomanPSMT" w:cs="TimesNewRomanPSMT"/>
          <w:sz w:val="24"/>
          <w:szCs w:val="24"/>
        </w:rPr>
        <w:t>međunarodnoj prepoznatljivosti ustanove.</w:t>
      </w: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>Transparentnost i ravnopravnost</w:t>
      </w:r>
    </w:p>
    <w:p w:rsidR="005D4BB0" w:rsidRPr="005D4BB0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906686" w:rsidRP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>Poseban naglasak stavlj</w:t>
      </w:r>
      <w:r w:rsidR="00B4488F">
        <w:rPr>
          <w:rFonts w:ascii="TimesNewRomanPSMT" w:hAnsi="TimesNewRomanPSMT" w:cs="TimesNewRomanPSMT"/>
          <w:sz w:val="24"/>
          <w:szCs w:val="24"/>
        </w:rPr>
        <w:t xml:space="preserve">a se na dostupnost informacija i </w:t>
      </w:r>
      <w:r w:rsidRPr="00906686">
        <w:rPr>
          <w:rFonts w:ascii="TimesNewRomanPSMT" w:hAnsi="TimesNewRomanPSMT" w:cs="TimesNewRomanPSMT"/>
          <w:sz w:val="24"/>
          <w:szCs w:val="24"/>
        </w:rPr>
        <w:t>transparen</w:t>
      </w:r>
      <w:r>
        <w:rPr>
          <w:rFonts w:ascii="TimesNewRomanPSMT" w:hAnsi="TimesNewRomanPSMT" w:cs="TimesNewRomanPSMT"/>
          <w:sz w:val="24"/>
          <w:szCs w:val="24"/>
        </w:rPr>
        <w:t>tno provođenje selekcij</w:t>
      </w:r>
      <w:r w:rsidR="00B4488F">
        <w:rPr>
          <w:rFonts w:ascii="TimesNewRomanPSMT" w:hAnsi="TimesNewRomanPSMT" w:cs="TimesNewRomanPSMT"/>
          <w:sz w:val="24"/>
          <w:szCs w:val="24"/>
        </w:rPr>
        <w:t>e</w:t>
      </w:r>
      <w:r>
        <w:rPr>
          <w:rFonts w:ascii="TimesNewRomanPSMT" w:hAnsi="TimesNewRomanPSMT" w:cs="TimesNewRomanPSMT"/>
          <w:sz w:val="24"/>
          <w:szCs w:val="24"/>
        </w:rPr>
        <w:t xml:space="preserve"> učenika i nastavnika,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 w:rsidR="00B4488F">
        <w:rPr>
          <w:rFonts w:ascii="TimesNewRomanPSMT" w:hAnsi="TimesNewRomanPSMT" w:cs="TimesNewRomanPSMT"/>
          <w:sz w:val="24"/>
          <w:szCs w:val="24"/>
        </w:rPr>
        <w:t>što omogućuje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uključenj</w:t>
      </w:r>
      <w:r>
        <w:rPr>
          <w:rFonts w:ascii="TimesNewRomanPSMT" w:hAnsi="TimesNewRomanPSMT" w:cs="TimesNewRomanPSMT"/>
          <w:sz w:val="24"/>
          <w:szCs w:val="24"/>
        </w:rPr>
        <w:t xml:space="preserve">e i ravnopravno djelovanje svih </w:t>
      </w:r>
      <w:r w:rsidRPr="00906686">
        <w:rPr>
          <w:rFonts w:ascii="TimesNewRomanPSMT" w:hAnsi="TimesNewRomanPSMT" w:cs="TimesNewRomanPSMT"/>
          <w:sz w:val="24"/>
          <w:szCs w:val="24"/>
        </w:rPr>
        <w:t>dionika.</w:t>
      </w: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BE58EA" w:rsidRDefault="00BE58EA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Kultura </w:t>
      </w:r>
      <w:r w:rsidR="00B4488F">
        <w:rPr>
          <w:rFonts w:ascii="TimesNewRomanPSMT" w:hAnsi="TimesNewRomanPSMT" w:cs="TimesNewRomanPSMT"/>
          <w:b/>
          <w:sz w:val="24"/>
          <w:szCs w:val="24"/>
          <w:u w:val="single"/>
        </w:rPr>
        <w:t>tolerancije</w:t>
      </w:r>
      <w:r w:rsidRPr="005D4BB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i suradnje</w:t>
      </w:r>
    </w:p>
    <w:p w:rsidR="005D4BB0" w:rsidRPr="005D4BB0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41354E" w:rsidRDefault="005D4BB0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Obrtna tehnička škola kroz strategiju</w:t>
      </w:r>
      <w:r w:rsidRPr="005D4BB0">
        <w:rPr>
          <w:rFonts w:ascii="TimesNewRomanPSMT" w:hAnsi="TimesNewRomanPSMT" w:cs="TimesNewRomanPSMT"/>
          <w:sz w:val="24"/>
          <w:szCs w:val="24"/>
        </w:rPr>
        <w:t xml:space="preserve"> internacionalizacije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dosljedno promiče </w:t>
      </w:r>
      <w:r>
        <w:rPr>
          <w:rFonts w:ascii="TimesNewRomanPSMT" w:hAnsi="TimesNewRomanPSMT" w:cs="TimesNewRomanPSMT"/>
          <w:sz w:val="24"/>
          <w:szCs w:val="24"/>
        </w:rPr>
        <w:t xml:space="preserve">moralna i etička načela, </w:t>
      </w:r>
      <w:r w:rsidR="00B4488F">
        <w:rPr>
          <w:rFonts w:ascii="TimesNewRomanPSMT" w:hAnsi="TimesNewRomanPSMT" w:cs="TimesNewRomanPSMT"/>
          <w:sz w:val="24"/>
          <w:szCs w:val="24"/>
        </w:rPr>
        <w:t>toleranciju i suradničke odnose, koji</w:t>
      </w:r>
      <w:r>
        <w:rPr>
          <w:rFonts w:ascii="TimesNewRomanPSMT" w:hAnsi="TimesNewRomanPSMT" w:cs="TimesNewRomanPSMT"/>
          <w:sz w:val="24"/>
          <w:szCs w:val="24"/>
        </w:rPr>
        <w:t xml:space="preserve"> se 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primjenjuju </w:t>
      </w:r>
      <w:r>
        <w:rPr>
          <w:rFonts w:ascii="TimesNewRomanPSMT" w:hAnsi="TimesNewRomanPSMT" w:cs="TimesNewRomanPSMT"/>
          <w:sz w:val="24"/>
          <w:szCs w:val="24"/>
        </w:rPr>
        <w:t>i kroz suradnju s međunarodnim partnerskih ustanovama.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B31B9" w:rsidRDefault="00FB31B9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D4BB0" w:rsidRDefault="005D4BB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Pr="00B4488F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</w:t>
      </w:r>
      <w:r w:rsidR="00137A72" w:rsidRPr="00B4488F">
        <w:rPr>
          <w:rFonts w:ascii="TimesNewRomanPSMT" w:hAnsi="TimesNewRomanPSMT" w:cs="TimesNewRomanPSMT"/>
          <w:b/>
          <w:sz w:val="24"/>
          <w:szCs w:val="24"/>
        </w:rPr>
        <w:t>. PODRUČJA I GLAVNI PRAVCI RAZVOJA MEĐUNARODNE SURADNJE</w:t>
      </w:r>
    </w:p>
    <w:p w:rsidR="0041354E" w:rsidRDefault="0041354E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37A72">
        <w:rPr>
          <w:rFonts w:ascii="TimesNewRomanPSMT" w:hAnsi="TimesNewRomanPSMT" w:cs="TimesNewRomanPSMT"/>
          <w:sz w:val="24"/>
          <w:szCs w:val="24"/>
        </w:rPr>
        <w:t xml:space="preserve">Međunarodna suradnja </w:t>
      </w:r>
      <w:r>
        <w:rPr>
          <w:rFonts w:ascii="TimesNewRomanPSMT" w:hAnsi="TimesNewRomanPSMT" w:cs="TimesNewRomanPSMT"/>
          <w:sz w:val="24"/>
          <w:szCs w:val="24"/>
        </w:rPr>
        <w:t>Obrtne tehničke škole ostvaruje se kroz: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-mobilnost učenika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-mobilnost nastavnika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-provođenje nastave na engleskom jeziku</w:t>
      </w:r>
    </w:p>
    <w:p w:rsid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-partnerstvo s europskim strukovnim školama</w:t>
      </w:r>
    </w:p>
    <w:p w:rsidR="00137A72" w:rsidRPr="00137A72" w:rsidRDefault="00137A7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-sudjelovanje u međunarodnim projektima</w:t>
      </w:r>
      <w:r w:rsidR="00B4488F">
        <w:rPr>
          <w:rFonts w:ascii="TimesNewRomanPSMT" w:hAnsi="TimesNewRomanPSMT" w:cs="TimesNewRomanPSMT"/>
          <w:sz w:val="24"/>
          <w:szCs w:val="24"/>
        </w:rPr>
        <w:t>.</w:t>
      </w:r>
    </w:p>
    <w:p w:rsidR="00157959" w:rsidRDefault="00D26751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</w:t>
      </w:r>
      <w:r w:rsidRPr="00D26751">
        <w:t xml:space="preserve"> </w:t>
      </w:r>
      <w:r w:rsidRPr="00D26751">
        <w:rPr>
          <w:rFonts w:ascii="TimesNewRomanPSMT" w:hAnsi="TimesNewRomanPSMT" w:cs="TimesNewRomanPSMT"/>
          <w:sz w:val="24"/>
          <w:szCs w:val="24"/>
        </w:rPr>
        <w:t>uvođenje ECVET sustava bodovanja za sva obrazovna zanimanja</w:t>
      </w: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90551C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B4488F" w:rsidRPr="00DD0FE0">
        <w:rPr>
          <w:rFonts w:ascii="TimesNewRomanPSMT" w:hAnsi="TimesNewRomanPSMT" w:cs="TimesNewRomanPSMT"/>
          <w:b/>
          <w:sz w:val="24"/>
          <w:szCs w:val="24"/>
        </w:rPr>
        <w:t>.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STRATEŠKI CILJEVI INTERNACIONALIZACIJE </w:t>
      </w:r>
    </w:p>
    <w:p w:rsidR="00B8241B" w:rsidRDefault="00B8241B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8241B" w:rsidRPr="00DD0FE0" w:rsidRDefault="00BE58EA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B8241B" w:rsidRPr="00DD0FE0">
        <w:rPr>
          <w:rFonts w:ascii="TimesNewRomanPSMT" w:hAnsi="TimesNewRomanPSMT" w:cs="TimesNewRomanPSMT"/>
          <w:b/>
          <w:sz w:val="24"/>
          <w:szCs w:val="24"/>
        </w:rPr>
        <w:t xml:space="preserve">.1  </w:t>
      </w:r>
      <w:r w:rsidR="00015A40" w:rsidRPr="00DD0FE0">
        <w:rPr>
          <w:rFonts w:ascii="TimesNewRomanPSMT" w:hAnsi="TimesNewRomanPSMT" w:cs="TimesNewRomanPSMT"/>
          <w:b/>
          <w:sz w:val="24"/>
          <w:szCs w:val="24"/>
        </w:rPr>
        <w:t xml:space="preserve">UNAPRIJEDITI </w:t>
      </w:r>
      <w:r w:rsidR="00B8241B" w:rsidRPr="00DD0FE0">
        <w:rPr>
          <w:rFonts w:ascii="TimesNewRomanPSMT" w:hAnsi="TimesNewRomanPSMT" w:cs="TimesNewRomanPSMT"/>
          <w:b/>
          <w:sz w:val="24"/>
          <w:szCs w:val="24"/>
        </w:rPr>
        <w:t xml:space="preserve">MOBILNOST UČENIKA </w:t>
      </w:r>
    </w:p>
    <w:p w:rsidR="00B8241B" w:rsidRDefault="00B8241B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8241B" w:rsidRPr="00906686" w:rsidRDefault="00B8241B" w:rsidP="00B8241B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Kroz planiranje i provođenje projekata mobilnosti učenika, odnosno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kroz 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odlazne i dolazne mobilnosti </w:t>
      </w:r>
      <w:r>
        <w:rPr>
          <w:rFonts w:ascii="TimesNewRomanPSMT" w:hAnsi="TimesNewRomanPSMT" w:cs="TimesNewRomanPSMT"/>
          <w:sz w:val="24"/>
          <w:szCs w:val="24"/>
        </w:rPr>
        <w:t>učenika, učenici se pripremaju za globalno radno okruženje.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551C" w:rsidRDefault="0090551C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B8241B" w:rsidRPr="00B4488F" w:rsidTr="00167021">
        <w:trPr>
          <w:trHeight w:val="973"/>
        </w:trPr>
        <w:tc>
          <w:tcPr>
            <w:tcW w:w="9322" w:type="dxa"/>
            <w:gridSpan w:val="4"/>
            <w:shd w:val="clear" w:color="auto" w:fill="8DB3E2"/>
            <w:vAlign w:val="center"/>
          </w:tcPr>
          <w:p w:rsidR="00B8241B" w:rsidRPr="00DA6D00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 w:rsidRPr="00DA6D00">
              <w:rPr>
                <w:rFonts w:ascii="Calibri" w:eastAsia="Calibri" w:hAnsi="Calibri" w:cs="Arial"/>
                <w:b/>
                <w:sz w:val="24"/>
              </w:rPr>
              <w:t>STRATEŠKI CILJ 1.</w:t>
            </w:r>
          </w:p>
          <w:p w:rsidR="00B8241B" w:rsidRPr="00B4488F" w:rsidRDefault="00015A40" w:rsidP="00015A40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 xml:space="preserve">UNAPRIJEDITI </w:t>
            </w:r>
            <w:r w:rsidR="00B8241B" w:rsidRPr="00DA6D00">
              <w:rPr>
                <w:rFonts w:ascii="Calibri" w:eastAsia="Calibri" w:hAnsi="Calibri" w:cs="Arial"/>
                <w:b/>
                <w:sz w:val="24"/>
              </w:rPr>
              <w:t>MOBILNOST UČENIKA</w:t>
            </w:r>
          </w:p>
        </w:tc>
      </w:tr>
      <w:tr w:rsidR="00B8241B" w:rsidRPr="00B4488F" w:rsidTr="00B8241B">
        <w:trPr>
          <w:trHeight w:val="973"/>
        </w:trPr>
        <w:tc>
          <w:tcPr>
            <w:tcW w:w="2330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0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B8241B" w:rsidRPr="00B4488F" w:rsidRDefault="00B8241B" w:rsidP="00B4488F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B8241B" w:rsidRPr="00290031" w:rsidTr="00B8241B">
        <w:trPr>
          <w:trHeight w:val="4037"/>
        </w:trPr>
        <w:tc>
          <w:tcPr>
            <w:tcW w:w="2330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8241B" w:rsidRPr="00B4488F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290031">
              <w:rPr>
                <w:rFonts w:ascii="Arial" w:eastAsia="Calibri" w:hAnsi="Arial" w:cs="Arial"/>
                <w:sz w:val="20"/>
                <w:szCs w:val="20"/>
              </w:rPr>
              <w:t>Planirati i provoditi mobilnost učenika završnih razreda kao dio stručne prakse</w:t>
            </w: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-Povećati </w:t>
            </w:r>
            <w:r w:rsidR="00EB5037">
              <w:rPr>
                <w:rFonts w:ascii="Arial" w:eastAsia="Calibri" w:hAnsi="Arial" w:cs="Arial"/>
                <w:sz w:val="20"/>
              </w:rPr>
              <w:t xml:space="preserve">postojeći </w:t>
            </w:r>
            <w:r>
              <w:rPr>
                <w:rFonts w:ascii="Arial" w:eastAsia="Calibri" w:hAnsi="Arial" w:cs="Arial"/>
                <w:sz w:val="20"/>
              </w:rPr>
              <w:t>broj uključenih učenika, zanimanja i tijekova mobilnost</w:t>
            </w: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Pr="00290031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-Povećati </w:t>
            </w:r>
            <w:r w:rsidR="00EB5037">
              <w:rPr>
                <w:rFonts w:ascii="Arial" w:eastAsia="Calibri" w:hAnsi="Arial" w:cs="Arial"/>
                <w:sz w:val="20"/>
              </w:rPr>
              <w:t xml:space="preserve">postojeći </w:t>
            </w:r>
            <w:r>
              <w:rPr>
                <w:rFonts w:ascii="Arial" w:eastAsia="Calibri" w:hAnsi="Arial" w:cs="Arial"/>
                <w:sz w:val="20"/>
              </w:rPr>
              <w:t>broj dolaznih mobilnosti učenika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4488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Prijave projekata mobilnosti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Erasmus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+) </w:t>
            </w:r>
          </w:p>
          <w:p w:rsidR="00B8241B" w:rsidRPr="00B4488F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-Osiguravanje preduvjeta za provođenje mobilnosti (partnerstva s drugim školama)</w:t>
            </w:r>
          </w:p>
          <w:p w:rsidR="00B8241B" w:rsidRPr="00290031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0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DA6D00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B8241B">
              <w:rPr>
                <w:rFonts w:ascii="Arial" w:eastAsia="Calibri" w:hAnsi="Arial" w:cs="Arial"/>
                <w:sz w:val="20"/>
              </w:rPr>
              <w:t>Školski projektni tim</w:t>
            </w:r>
          </w:p>
          <w:p w:rsidR="00EB5037" w:rsidRPr="00290031" w:rsidRDefault="00EB5037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ostvarenih projekta mobilnosti</w:t>
            </w:r>
          </w:p>
          <w:p w:rsidR="00B8241B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EB5037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>Ciljani broj učenika uključenih u projekt je 32.</w:t>
            </w:r>
          </w:p>
          <w:p w:rsidR="00B8241B" w:rsidRDefault="00EB5037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="00B8241B">
              <w:rPr>
                <w:rFonts w:ascii="Arial" w:eastAsia="Calibri" w:hAnsi="Arial" w:cs="Arial"/>
                <w:sz w:val="20"/>
              </w:rPr>
              <w:t>-</w:t>
            </w:r>
            <w:r>
              <w:rPr>
                <w:rFonts w:ascii="Arial" w:eastAsia="Calibri" w:hAnsi="Arial" w:cs="Arial"/>
                <w:sz w:val="20"/>
              </w:rPr>
              <w:t xml:space="preserve">Cilj je uključiti u projekte učenike svih zanimanja </w:t>
            </w:r>
          </w:p>
          <w:p w:rsidR="00EB5037" w:rsidRDefault="00B8241B" w:rsidP="00290031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>Ciljani broj mobilnosti u jednoj školskoj godini</w:t>
            </w:r>
          </w:p>
          <w:p w:rsidR="00B8241B" w:rsidRPr="00290031" w:rsidRDefault="00B8241B" w:rsidP="00EB5037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 xml:space="preserve">Ciljani broj </w:t>
            </w:r>
            <w:r>
              <w:rPr>
                <w:rFonts w:ascii="Arial" w:eastAsia="Calibri" w:hAnsi="Arial" w:cs="Arial"/>
                <w:sz w:val="20"/>
              </w:rPr>
              <w:t>učenika koji borave na mobilnosti u Obrtnoj tehničkoj školi</w:t>
            </w:r>
            <w:r w:rsidR="00EB5037">
              <w:rPr>
                <w:rFonts w:ascii="Arial" w:eastAsia="Calibri" w:hAnsi="Arial" w:cs="Arial"/>
                <w:sz w:val="20"/>
              </w:rPr>
              <w:t xml:space="preserve"> je najviše 20 tijekom jedne školske godine</w:t>
            </w:r>
          </w:p>
        </w:tc>
      </w:tr>
    </w:tbl>
    <w:p w:rsidR="00B8241B" w:rsidRDefault="00B8241B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F67E2" w:rsidRDefault="001F67E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1F67E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.2. </w:t>
      </w:r>
      <w:r w:rsidR="00EB5037">
        <w:rPr>
          <w:rFonts w:ascii="TimesNewRomanPSMT" w:hAnsi="TimesNewRomanPSMT" w:cs="TimesNewRomanPSMT"/>
          <w:b/>
          <w:sz w:val="24"/>
          <w:szCs w:val="24"/>
        </w:rPr>
        <w:t xml:space="preserve">OSTVARITI 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MOBILNOST NASTAVNIKA</w:t>
      </w:r>
    </w:p>
    <w:p w:rsidR="00881F72" w:rsidRDefault="00881F72" w:rsidP="00881F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881F72" w:rsidRDefault="00881F72" w:rsidP="00881F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Kroz planiranje i provođenje projekata mobilnosti nastavnika, odnosno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kroz 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odlazne i dolazne mobilnosti </w:t>
      </w:r>
      <w:r>
        <w:rPr>
          <w:rFonts w:ascii="TimesNewRomanPSMT" w:hAnsi="TimesNewRomanPSMT" w:cs="TimesNewRomanPSMT"/>
          <w:sz w:val="24"/>
          <w:szCs w:val="24"/>
        </w:rPr>
        <w:t>nastavnika, nastavnici razmjenjuju znanja i vještine, te postaju dionici procesa cjeloživotnog učenja i stručnog usavršavanja.</w:t>
      </w:r>
      <w:r w:rsidRPr="00906686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26482" w:rsidRPr="00906686" w:rsidRDefault="00526482" w:rsidP="00881F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A6D00" w:rsidRDefault="00DA6D0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DA6D00" w:rsidRPr="00B4488F" w:rsidTr="00FC3078">
        <w:trPr>
          <w:trHeight w:val="973"/>
        </w:trPr>
        <w:tc>
          <w:tcPr>
            <w:tcW w:w="9322" w:type="dxa"/>
            <w:gridSpan w:val="4"/>
            <w:shd w:val="clear" w:color="auto" w:fill="8DB3E2"/>
            <w:vAlign w:val="center"/>
          </w:tcPr>
          <w:p w:rsidR="00DA6D00" w:rsidRPr="00DA6D00" w:rsidRDefault="00881F72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2</w:t>
            </w:r>
            <w:r w:rsidR="00DA6D00"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DA6D00" w:rsidRPr="00B4488F" w:rsidRDefault="00015A40" w:rsidP="00015A40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 xml:space="preserve">UNAPRIJEDITI </w:t>
            </w:r>
            <w:r w:rsidR="00DA6D00" w:rsidRPr="00DA6D00">
              <w:rPr>
                <w:rFonts w:ascii="Calibri" w:eastAsia="Calibri" w:hAnsi="Calibri" w:cs="Arial"/>
                <w:b/>
                <w:sz w:val="24"/>
              </w:rPr>
              <w:t xml:space="preserve">MOBILNOST </w:t>
            </w:r>
            <w:r w:rsidR="00DA6D00">
              <w:rPr>
                <w:rFonts w:ascii="Calibri" w:eastAsia="Calibri" w:hAnsi="Calibri" w:cs="Arial"/>
                <w:b/>
                <w:sz w:val="24"/>
              </w:rPr>
              <w:t>NASTAVNIKA</w:t>
            </w:r>
          </w:p>
        </w:tc>
      </w:tr>
      <w:tr w:rsidR="00DA6D00" w:rsidRPr="00B4488F" w:rsidTr="00FC3078">
        <w:trPr>
          <w:trHeight w:val="973"/>
        </w:trPr>
        <w:tc>
          <w:tcPr>
            <w:tcW w:w="2330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0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DA6D00" w:rsidRPr="00B4488F" w:rsidRDefault="00DA6D0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DA6D00" w:rsidRPr="00290031" w:rsidTr="00FC3078">
        <w:trPr>
          <w:trHeight w:val="4037"/>
        </w:trPr>
        <w:tc>
          <w:tcPr>
            <w:tcW w:w="2330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6D00" w:rsidRPr="00B4488F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290031">
              <w:rPr>
                <w:rFonts w:ascii="Arial" w:eastAsia="Calibri" w:hAnsi="Arial" w:cs="Arial"/>
                <w:sz w:val="20"/>
                <w:szCs w:val="20"/>
              </w:rPr>
              <w:t xml:space="preserve">Planirati i provoditi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projekte </w:t>
            </w:r>
            <w:r w:rsidRPr="00290031">
              <w:rPr>
                <w:rFonts w:ascii="Arial" w:eastAsia="Calibri" w:hAnsi="Arial" w:cs="Arial"/>
                <w:sz w:val="20"/>
                <w:szCs w:val="20"/>
              </w:rPr>
              <w:t xml:space="preserve">mobilnost </w:t>
            </w:r>
            <w:r>
              <w:rPr>
                <w:rFonts w:ascii="Arial" w:eastAsia="Calibri" w:hAnsi="Arial" w:cs="Arial"/>
                <w:sz w:val="20"/>
                <w:szCs w:val="20"/>
              </w:rPr>
              <w:t>nastavnika kao dio stručnog usavršavanja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 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Pr="00290031" w:rsidRDefault="00DA6D00" w:rsidP="00EB5037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-Povećati broj dolaznih mobilnosti nastavnika</w:t>
            </w:r>
            <w:r w:rsidR="00EB5037">
              <w:rPr>
                <w:rFonts w:ascii="Arial" w:eastAsia="Calibri" w:hAnsi="Arial" w:cs="Arial"/>
                <w:sz w:val="20"/>
              </w:rPr>
              <w:t xml:space="preserve"> u našu školu (povećati broj partnera kojima smo mi škola domaćin, kao i broj nastavnika)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4488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Prijave projekata mobilnosti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Erasmus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+) </w:t>
            </w:r>
          </w:p>
          <w:p w:rsidR="00DA6D00" w:rsidRPr="00B4488F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-Osiguravanje preduvjeta za provođenje mobilnosti (partnerstva s drugim školama)</w:t>
            </w:r>
          </w:p>
          <w:p w:rsidR="00DA6D00" w:rsidRPr="00290031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0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Pr="00290031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ostvarenih projekata mobilnosti</w:t>
            </w:r>
            <w:r w:rsidR="00EB5037">
              <w:rPr>
                <w:rFonts w:ascii="Arial" w:eastAsia="Calibri" w:hAnsi="Arial" w:cs="Arial"/>
                <w:sz w:val="20"/>
              </w:rPr>
              <w:t xml:space="preserve"> nastavnika u periodu od 5 godina (ciljani broj je 5 projekata</w:t>
            </w:r>
            <w:r w:rsidR="00636FCC">
              <w:rPr>
                <w:rFonts w:ascii="Arial" w:eastAsia="Calibri" w:hAnsi="Arial" w:cs="Arial"/>
                <w:sz w:val="20"/>
              </w:rPr>
              <w:t xml:space="preserve"> u razdoblju od 5 godina</w:t>
            </w:r>
            <w:r w:rsidR="00EB5037">
              <w:rPr>
                <w:rFonts w:ascii="Arial" w:eastAsia="Calibri" w:hAnsi="Arial" w:cs="Arial"/>
                <w:sz w:val="20"/>
              </w:rPr>
              <w:t>)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nastavnika uključenih u projekte mobilnosti</w:t>
            </w:r>
            <w:r w:rsidR="00EB5037">
              <w:rPr>
                <w:rFonts w:ascii="Arial" w:eastAsia="Calibri" w:hAnsi="Arial" w:cs="Arial"/>
                <w:sz w:val="20"/>
              </w:rPr>
              <w:t xml:space="preserve"> (ciljani broj je 4 nastavnika u prvoj godini, a zatim svake godine po 6 nastavnika)</w:t>
            </w:r>
          </w:p>
          <w:p w:rsidR="00DA6D00" w:rsidRDefault="00DA6D0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DA6D00" w:rsidRPr="00290031" w:rsidRDefault="00DA6D00" w:rsidP="00DA6D00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EB5037">
              <w:rPr>
                <w:rFonts w:ascii="Arial" w:eastAsia="Calibri" w:hAnsi="Arial" w:cs="Arial"/>
                <w:sz w:val="20"/>
              </w:rPr>
              <w:t>Tijekom jedne školske godine ciljani  b</w:t>
            </w:r>
            <w:r>
              <w:rPr>
                <w:rFonts w:ascii="Arial" w:eastAsia="Calibri" w:hAnsi="Arial" w:cs="Arial"/>
                <w:sz w:val="20"/>
              </w:rPr>
              <w:t>roj nastavnika koji borave na mobilnosti u Obrtnoj tehničkoj školi</w:t>
            </w:r>
            <w:r w:rsidR="00EB5037">
              <w:rPr>
                <w:rFonts w:ascii="Arial" w:eastAsia="Calibri" w:hAnsi="Arial" w:cs="Arial"/>
                <w:sz w:val="20"/>
              </w:rPr>
              <w:t xml:space="preserve"> je maksimalno 15, a broj partnera 2</w:t>
            </w:r>
          </w:p>
        </w:tc>
      </w:tr>
    </w:tbl>
    <w:p w:rsidR="001F67E2" w:rsidRDefault="001F67E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137A7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.3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782D13" w:rsidRPr="00DD0FE0">
        <w:rPr>
          <w:rFonts w:ascii="TimesNewRomanPSMT" w:hAnsi="TimesNewRomanPSMT" w:cs="TimesNewRomanPSMT"/>
          <w:b/>
          <w:sz w:val="24"/>
          <w:szCs w:val="24"/>
        </w:rPr>
        <w:t>PROV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OĐENJE NASTAVE NA 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>ENGLESKOM JEZIKU</w:t>
      </w:r>
    </w:p>
    <w:p w:rsidR="00782D13" w:rsidRDefault="00782D13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26482" w:rsidRDefault="001F67E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1F67E2">
        <w:rPr>
          <w:rFonts w:ascii="TimesNewRomanPSMT" w:hAnsi="TimesNewRomanPSMT" w:cs="TimesNewRomanPSMT"/>
          <w:sz w:val="24"/>
          <w:szCs w:val="24"/>
        </w:rPr>
        <w:t xml:space="preserve">Održavanje nastave i </w:t>
      </w:r>
      <w:r w:rsidR="00906686">
        <w:rPr>
          <w:rFonts w:ascii="TimesNewRomanPSMT" w:hAnsi="TimesNewRomanPSMT" w:cs="TimesNewRomanPSMT"/>
          <w:sz w:val="24"/>
          <w:szCs w:val="24"/>
        </w:rPr>
        <w:t>priprema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 nastavnih</w:t>
      </w:r>
      <w:r>
        <w:rPr>
          <w:rFonts w:ascii="TimesNewRomanPSMT" w:hAnsi="TimesNewRomanPSMT" w:cs="TimesNewRomanPSMT"/>
          <w:sz w:val="24"/>
          <w:szCs w:val="24"/>
        </w:rPr>
        <w:t xml:space="preserve"> materijala na engleskom jeziku 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je </w:t>
      </w:r>
      <w:r w:rsidR="00906686">
        <w:rPr>
          <w:rFonts w:ascii="TimesNewRomanPSMT" w:hAnsi="TimesNewRomanPSMT" w:cs="TimesNewRomanPSMT"/>
          <w:sz w:val="24"/>
          <w:szCs w:val="24"/>
        </w:rPr>
        <w:t xml:space="preserve">smjer 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internacionalizacije koji pospješuje </w:t>
      </w:r>
      <w:r>
        <w:rPr>
          <w:rFonts w:ascii="TimesNewRomanPSMT" w:hAnsi="TimesNewRomanPSMT" w:cs="TimesNewRomanPSMT"/>
          <w:sz w:val="24"/>
          <w:szCs w:val="24"/>
        </w:rPr>
        <w:t xml:space="preserve">dolaznu mobilnost i međunarodnu 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prepoznatljivost </w:t>
      </w:r>
      <w:r>
        <w:rPr>
          <w:rFonts w:ascii="TimesNewRomanPSMT" w:hAnsi="TimesNewRomanPSMT" w:cs="TimesNewRomanPSMT"/>
          <w:sz w:val="24"/>
          <w:szCs w:val="24"/>
        </w:rPr>
        <w:t>Obrtne tehničke škole</w:t>
      </w:r>
      <w:r w:rsidRPr="001F67E2">
        <w:rPr>
          <w:rFonts w:ascii="TimesNewRomanPSMT" w:hAnsi="TimesNewRomanPSMT" w:cs="TimesNewRomanPSMT"/>
          <w:sz w:val="24"/>
          <w:szCs w:val="24"/>
        </w:rPr>
        <w:t>. Dinamika uvođenja nastave</w:t>
      </w:r>
      <w:r>
        <w:rPr>
          <w:rFonts w:ascii="TimesNewRomanPSMT" w:hAnsi="TimesNewRomanPSMT" w:cs="TimesNewRomanPSMT"/>
          <w:sz w:val="24"/>
          <w:szCs w:val="24"/>
        </w:rPr>
        <w:t xml:space="preserve"> na engleskom </w:t>
      </w:r>
    </w:p>
    <w:p w:rsidR="001F67E2" w:rsidRDefault="001F67E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jeziku </w:t>
      </w:r>
      <w:r w:rsidR="007F6790">
        <w:rPr>
          <w:rFonts w:ascii="TimesNewRomanPSMT" w:hAnsi="TimesNewRomanPSMT" w:cs="TimesNewRomanPSMT"/>
          <w:sz w:val="24"/>
          <w:szCs w:val="24"/>
        </w:rPr>
        <w:t>odredit će</w:t>
      </w:r>
      <w:r w:rsidRPr="001F67E2">
        <w:rPr>
          <w:rFonts w:ascii="TimesNewRomanPSMT" w:hAnsi="TimesNewRomanPSMT" w:cs="TimesNewRomanPSMT"/>
          <w:sz w:val="24"/>
          <w:szCs w:val="24"/>
        </w:rPr>
        <w:t xml:space="preserve"> se na temelju iskazanog interesa </w:t>
      </w:r>
      <w:r w:rsidR="00906686">
        <w:rPr>
          <w:rFonts w:ascii="TimesNewRomanPSMT" w:hAnsi="TimesNewRomanPSMT" w:cs="TimesNewRomanPSMT"/>
          <w:sz w:val="24"/>
          <w:szCs w:val="24"/>
        </w:rPr>
        <w:t>partnera za dolaznu mobilnost.</w:t>
      </w:r>
    </w:p>
    <w:p w:rsidR="00526482" w:rsidRDefault="0052648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F6790" w:rsidRDefault="007F6790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7F6790" w:rsidRPr="00B4488F" w:rsidTr="00FC3078">
        <w:trPr>
          <w:trHeight w:val="973"/>
        </w:trPr>
        <w:tc>
          <w:tcPr>
            <w:tcW w:w="9322" w:type="dxa"/>
            <w:gridSpan w:val="4"/>
            <w:shd w:val="clear" w:color="auto" w:fill="8DB3E2"/>
            <w:vAlign w:val="center"/>
          </w:tcPr>
          <w:p w:rsidR="007F6790" w:rsidRPr="00DA6D00" w:rsidRDefault="007F6790" w:rsidP="007F6790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3</w:t>
            </w:r>
            <w:r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7F6790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PROV</w:t>
            </w:r>
            <w:r w:rsidR="007F6790" w:rsidRPr="007F6790">
              <w:rPr>
                <w:rFonts w:ascii="Calibri" w:eastAsia="Calibri" w:hAnsi="Calibri" w:cs="Arial"/>
                <w:b/>
                <w:sz w:val="24"/>
              </w:rPr>
              <w:t>OĐENJE NASTAVE NA ENGLESKOM JEZIKU</w:t>
            </w:r>
          </w:p>
        </w:tc>
      </w:tr>
      <w:tr w:rsidR="007F6790" w:rsidRPr="00B4488F" w:rsidTr="00FC3078">
        <w:trPr>
          <w:trHeight w:val="973"/>
        </w:trPr>
        <w:tc>
          <w:tcPr>
            <w:tcW w:w="2330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0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1" w:type="dxa"/>
            <w:shd w:val="clear" w:color="auto" w:fill="8DB3E2"/>
            <w:vAlign w:val="center"/>
          </w:tcPr>
          <w:p w:rsidR="007F6790" w:rsidRPr="00B4488F" w:rsidRDefault="007F679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7F6790" w:rsidRPr="00290031" w:rsidTr="00782D13">
        <w:trPr>
          <w:trHeight w:val="3434"/>
        </w:trPr>
        <w:tc>
          <w:tcPr>
            <w:tcW w:w="2330" w:type="dxa"/>
            <w:shd w:val="clear" w:color="auto" w:fill="C6D9F1" w:themeFill="text2" w:themeFillTint="33"/>
            <w:vAlign w:val="center"/>
          </w:tcPr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F6790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782D13">
              <w:rPr>
                <w:rFonts w:ascii="Arial" w:eastAsia="Calibri" w:hAnsi="Arial" w:cs="Arial"/>
                <w:sz w:val="20"/>
                <w:szCs w:val="20"/>
              </w:rPr>
              <w:t>Stručni nastavnici će moći o</w:t>
            </w:r>
            <w:r>
              <w:rPr>
                <w:rFonts w:ascii="Arial" w:eastAsia="Calibri" w:hAnsi="Arial" w:cs="Arial"/>
                <w:sz w:val="20"/>
                <w:szCs w:val="20"/>
              </w:rPr>
              <w:t>država</w:t>
            </w:r>
            <w:r w:rsidR="00636FCC">
              <w:rPr>
                <w:rFonts w:ascii="Arial" w:eastAsia="Calibri" w:hAnsi="Arial" w:cs="Arial"/>
                <w:sz w:val="20"/>
                <w:szCs w:val="20"/>
              </w:rPr>
              <w:t>ti nastavu na engleskom jeziku</w:t>
            </w:r>
          </w:p>
          <w:p w:rsidR="00636FCC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-Nastavnici općih predmeta moći će održavati nastavu na engleskom jeziku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F6790" w:rsidRPr="00290031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4488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Edukacija nastavnika kr</w:t>
            </w:r>
            <w:r w:rsidR="00782D13">
              <w:rPr>
                <w:rFonts w:ascii="Arial" w:eastAsia="Calibri" w:hAnsi="Arial" w:cs="Arial"/>
                <w:sz w:val="20"/>
                <w:szCs w:val="20"/>
              </w:rPr>
              <w:t>oz dodatne sate engleskog jezika</w:t>
            </w: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-Osiguravanje preduvjeta za provođenje mobilnost</w:t>
            </w:r>
            <w:r w:rsidR="00782D13">
              <w:rPr>
                <w:rFonts w:ascii="Arial" w:eastAsia="Calibri" w:hAnsi="Arial" w:cs="Arial"/>
                <w:sz w:val="20"/>
                <w:szCs w:val="20"/>
              </w:rPr>
              <w:t>i (partnerstva s drugim školama)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C6D9F1" w:themeFill="text2" w:themeFillTint="33"/>
            <w:vAlign w:val="center"/>
          </w:tcPr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782D13">
              <w:rPr>
                <w:rFonts w:ascii="Arial" w:eastAsia="Calibri" w:hAnsi="Arial" w:cs="Arial"/>
                <w:sz w:val="20"/>
              </w:rPr>
              <w:t>Školski projektni tim</w:t>
            </w:r>
          </w:p>
          <w:p w:rsidR="007F6790" w:rsidRDefault="007F6790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-Nastavnici engleskog jezika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Pr="00290031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1" w:type="dxa"/>
            <w:shd w:val="clear" w:color="auto" w:fill="C6D9F1" w:themeFill="text2" w:themeFillTint="33"/>
            <w:vAlign w:val="center"/>
          </w:tcPr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F6790" w:rsidRDefault="007F6790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-Broj nastavnika koji </w:t>
            </w:r>
            <w:r w:rsidR="00782D13">
              <w:rPr>
                <w:rFonts w:ascii="Arial" w:eastAsia="Calibri" w:hAnsi="Arial" w:cs="Arial"/>
                <w:sz w:val="20"/>
              </w:rPr>
              <w:t xml:space="preserve">mogu </w:t>
            </w:r>
            <w:r>
              <w:rPr>
                <w:rFonts w:ascii="Arial" w:eastAsia="Calibri" w:hAnsi="Arial" w:cs="Arial"/>
                <w:sz w:val="20"/>
              </w:rPr>
              <w:t>održa</w:t>
            </w:r>
            <w:r w:rsidR="00782D13">
              <w:rPr>
                <w:rFonts w:ascii="Arial" w:eastAsia="Calibri" w:hAnsi="Arial" w:cs="Arial"/>
                <w:sz w:val="20"/>
              </w:rPr>
              <w:t>ti</w:t>
            </w:r>
            <w:r>
              <w:rPr>
                <w:rFonts w:ascii="Arial" w:eastAsia="Calibri" w:hAnsi="Arial" w:cs="Arial"/>
                <w:sz w:val="20"/>
              </w:rPr>
              <w:t xml:space="preserve"> nastavu na engleskom jeziku</w:t>
            </w:r>
            <w:r w:rsidR="00636FCC">
              <w:rPr>
                <w:rFonts w:ascii="Arial" w:eastAsia="Calibri" w:hAnsi="Arial" w:cs="Arial"/>
                <w:sz w:val="20"/>
              </w:rPr>
              <w:t>, a ciljani broj je:</w:t>
            </w:r>
            <w:r w:rsidR="00636FCC">
              <w:t xml:space="preserve"> i</w:t>
            </w:r>
            <w:r w:rsidR="00636FCC" w:rsidRPr="00636FCC">
              <w:rPr>
                <w:rFonts w:ascii="Arial" w:eastAsia="Calibri" w:hAnsi="Arial" w:cs="Arial"/>
                <w:sz w:val="20"/>
              </w:rPr>
              <w:t xml:space="preserve">z svakog strukovnog aktiva (strojarstvo/elektro/drvo) i općeobrazovnog aktiva </w:t>
            </w:r>
            <w:r w:rsidR="00636FCC">
              <w:rPr>
                <w:rFonts w:ascii="Arial" w:eastAsia="Calibri" w:hAnsi="Arial" w:cs="Arial"/>
                <w:sz w:val="20"/>
              </w:rPr>
              <w:t>dva</w:t>
            </w:r>
            <w:r w:rsidR="00636FCC" w:rsidRPr="00636FCC">
              <w:rPr>
                <w:rFonts w:ascii="Arial" w:eastAsia="Calibri" w:hAnsi="Arial" w:cs="Arial"/>
                <w:sz w:val="20"/>
              </w:rPr>
              <w:t xml:space="preserve"> nastavnik će se osposobiti za održava</w:t>
            </w:r>
            <w:r w:rsidR="00636FCC">
              <w:rPr>
                <w:rFonts w:ascii="Arial" w:eastAsia="Calibri" w:hAnsi="Arial" w:cs="Arial"/>
                <w:sz w:val="20"/>
              </w:rPr>
              <w:t>nje nastave na engleskom jeziku</w:t>
            </w:r>
          </w:p>
          <w:p w:rsidR="00782D13" w:rsidRDefault="00782D13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Pr="00290031" w:rsidRDefault="00782D13" w:rsidP="00782D13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7F6790" w:rsidRPr="001F67E2" w:rsidRDefault="007F6790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906686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26751" w:rsidRDefault="00D26751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26482" w:rsidRDefault="00526482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137A7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.4 </w:t>
      </w:r>
      <w:r w:rsidR="00015A40" w:rsidRPr="00DD0FE0">
        <w:rPr>
          <w:rFonts w:ascii="TimesNewRomanPSMT" w:hAnsi="TimesNewRomanPSMT" w:cs="TimesNewRomanPSMT"/>
          <w:b/>
          <w:sz w:val="24"/>
          <w:szCs w:val="24"/>
        </w:rPr>
        <w:t xml:space="preserve">OSTVARIVANJE 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PARTNERSTVA SA STRUKOVNIM ŠKOLAMA</w:t>
      </w:r>
    </w:p>
    <w:p w:rsidR="00782D13" w:rsidRDefault="00782D13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P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>Razvoj</w:t>
      </w:r>
      <w:r>
        <w:rPr>
          <w:rFonts w:ascii="TimesNewRomanPSMT" w:hAnsi="TimesNewRomanPSMT" w:cs="TimesNewRomanPSMT"/>
          <w:sz w:val="24"/>
          <w:szCs w:val="24"/>
        </w:rPr>
        <w:t xml:space="preserve"> suradnje sa strukovnim školama </w:t>
      </w:r>
      <w:r w:rsidRPr="00906686">
        <w:rPr>
          <w:rFonts w:ascii="TimesNewRomanPSMT" w:hAnsi="TimesNewRomanPSMT" w:cs="TimesNewRomanPSMT"/>
          <w:sz w:val="24"/>
          <w:szCs w:val="24"/>
        </w:rPr>
        <w:t>iz Europske unije osnova je jačanja</w:t>
      </w:r>
    </w:p>
    <w:p w:rsidR="00782D13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906686">
        <w:rPr>
          <w:rFonts w:ascii="TimesNewRomanPSMT" w:hAnsi="TimesNewRomanPSMT" w:cs="TimesNewRomanPSMT"/>
          <w:sz w:val="24"/>
          <w:szCs w:val="24"/>
        </w:rPr>
        <w:t xml:space="preserve">obrazovnih i stručnih potencijala </w:t>
      </w:r>
      <w:r>
        <w:rPr>
          <w:rFonts w:ascii="TimesNewRomanPSMT" w:hAnsi="TimesNewRomanPSMT" w:cs="TimesNewRomanPSMT"/>
          <w:sz w:val="24"/>
          <w:szCs w:val="24"/>
        </w:rPr>
        <w:t>Obrtne tehničke škole</w:t>
      </w:r>
      <w:r w:rsidR="00FC15E8">
        <w:rPr>
          <w:rFonts w:ascii="TimesNewRomanPSMT" w:hAnsi="TimesNewRomanPSMT" w:cs="TimesNewRomanPSMT"/>
          <w:sz w:val="24"/>
          <w:szCs w:val="24"/>
        </w:rPr>
        <w:t>.</w:t>
      </w:r>
    </w:p>
    <w:p w:rsidR="00526482" w:rsidRDefault="00526482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Pr="00906686" w:rsidRDefault="00FC15E8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782D13" w:rsidRPr="00B4488F" w:rsidTr="00FC15E8">
        <w:trPr>
          <w:trHeight w:val="771"/>
        </w:trPr>
        <w:tc>
          <w:tcPr>
            <w:tcW w:w="9346" w:type="dxa"/>
            <w:gridSpan w:val="4"/>
            <w:shd w:val="clear" w:color="auto" w:fill="8DB3E2"/>
            <w:vAlign w:val="center"/>
          </w:tcPr>
          <w:p w:rsidR="00782D13" w:rsidRPr="00DA6D00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4</w:t>
            </w:r>
            <w:r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782D13" w:rsidRPr="00B4488F" w:rsidRDefault="00015A40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 xml:space="preserve">OSTVARIVANJE </w:t>
            </w:r>
            <w:r w:rsidR="00782D13" w:rsidRPr="00782D13">
              <w:rPr>
                <w:rFonts w:ascii="Calibri" w:eastAsia="Calibri" w:hAnsi="Calibri" w:cs="Arial"/>
                <w:b/>
                <w:sz w:val="24"/>
              </w:rPr>
              <w:t>PARTNERSTVA SA STRUKOVNIM ŠKOLAMA</w:t>
            </w:r>
          </w:p>
        </w:tc>
      </w:tr>
      <w:tr w:rsidR="00782D13" w:rsidRPr="00B4488F" w:rsidTr="00FC15E8">
        <w:trPr>
          <w:trHeight w:val="771"/>
        </w:trPr>
        <w:tc>
          <w:tcPr>
            <w:tcW w:w="2336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6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782D13" w:rsidRPr="00B4488F" w:rsidRDefault="00782D13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782D13" w:rsidRPr="00290031" w:rsidTr="00FC15E8">
        <w:trPr>
          <w:trHeight w:val="2924"/>
        </w:trPr>
        <w:tc>
          <w:tcPr>
            <w:tcW w:w="2336" w:type="dxa"/>
            <w:shd w:val="clear" w:color="auto" w:fill="C6D9F1" w:themeFill="text2" w:themeFillTint="33"/>
            <w:vAlign w:val="center"/>
          </w:tcPr>
          <w:p w:rsid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-Ostvariti suradnju i partnerstvo s drugim strukovnim školama iz EU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290031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P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-Kontaktiranje s mogućim partnerima  iz zemalja EU</w:t>
            </w:r>
          </w:p>
          <w:p w:rsidR="00782D13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-Stvaranje novih partnerstva i suradnje u svakoj prijavi projekta</w:t>
            </w:r>
          </w:p>
          <w:p w:rsidR="00782D13" w:rsidRDefault="00782D13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2D13" w:rsidRP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  <w:p w:rsidR="00636FCC" w:rsidRDefault="00636FCC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782D13" w:rsidRPr="00290031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-Broj </w:t>
            </w:r>
            <w:r w:rsidR="00FC15E8">
              <w:rPr>
                <w:rFonts w:ascii="Arial" w:eastAsia="Calibri" w:hAnsi="Arial" w:cs="Arial"/>
                <w:sz w:val="20"/>
              </w:rPr>
              <w:t>partnerstva u međunarodnim projektima</w:t>
            </w:r>
            <w:r w:rsidR="00636FCC">
              <w:rPr>
                <w:rFonts w:ascii="Arial" w:eastAsia="Calibri" w:hAnsi="Arial" w:cs="Arial"/>
                <w:sz w:val="20"/>
              </w:rPr>
              <w:t xml:space="preserve">, a ciljani broj je najmanje dva partnerstva u svakoj školskoj godini, do </w:t>
            </w:r>
            <w:r w:rsidR="00790073">
              <w:rPr>
                <w:rFonts w:ascii="Arial" w:eastAsia="Calibri" w:hAnsi="Arial" w:cs="Arial"/>
                <w:sz w:val="20"/>
              </w:rPr>
              <w:t>posljednjoj</w:t>
            </w:r>
            <w:r w:rsidR="00636FCC">
              <w:rPr>
                <w:rFonts w:ascii="Arial" w:eastAsia="Calibri" w:hAnsi="Arial" w:cs="Arial"/>
                <w:sz w:val="20"/>
              </w:rPr>
              <w:t xml:space="preserve"> godini</w:t>
            </w:r>
          </w:p>
          <w:p w:rsidR="00782D13" w:rsidRDefault="00782D13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906686" w:rsidRDefault="00906686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37A72" w:rsidRDefault="00137A72" w:rsidP="001F67E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37A72" w:rsidRPr="00DD0FE0" w:rsidRDefault="00BE58EA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.5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 xml:space="preserve"> SUDJELOVANJE U RAZLIČITIM 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>MEĐUNARODNI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M</w:t>
      </w:r>
      <w:r w:rsidR="00137A72" w:rsidRPr="00DD0FE0">
        <w:rPr>
          <w:rFonts w:ascii="TimesNewRomanPSMT" w:hAnsi="TimesNewRomanPSMT" w:cs="TimesNewRomanPSMT"/>
          <w:b/>
          <w:sz w:val="24"/>
          <w:szCs w:val="24"/>
        </w:rPr>
        <w:t xml:space="preserve"> PROJEKTI</w:t>
      </w:r>
      <w:r w:rsidR="001F67E2" w:rsidRPr="00DD0FE0">
        <w:rPr>
          <w:rFonts w:ascii="TimesNewRomanPSMT" w:hAnsi="TimesNewRomanPSMT" w:cs="TimesNewRomanPSMT"/>
          <w:b/>
          <w:sz w:val="24"/>
          <w:szCs w:val="24"/>
        </w:rPr>
        <w:t>MA</w:t>
      </w:r>
    </w:p>
    <w:p w:rsidR="00015A40" w:rsidRDefault="00015A40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906686" w:rsidRDefault="00782D13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Obrtna tehnička škola će kroz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>međunarodnu suradnju realizirati projekte iz EU fondova koj</w:t>
      </w:r>
      <w:r>
        <w:rPr>
          <w:rFonts w:ascii="TimesNewRomanPSMT" w:hAnsi="TimesNewRomanPSMT" w:cs="TimesNewRomanPSMT"/>
          <w:sz w:val="24"/>
          <w:szCs w:val="24"/>
        </w:rPr>
        <w:t xml:space="preserve">i nisu unutar programa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Erasmus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+ 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kako bi </w:t>
      </w:r>
      <w:r>
        <w:rPr>
          <w:rFonts w:ascii="TimesNewRomanPSMT" w:hAnsi="TimesNewRomanPSMT" w:cs="TimesNewRomanPSMT"/>
          <w:sz w:val="24"/>
          <w:szCs w:val="24"/>
        </w:rPr>
        <w:t>se regionalno još bolje povezala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 s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strukovnim školama i drugim međunarodnim organizacijama</w:t>
      </w:r>
      <w:r w:rsidR="00906686" w:rsidRPr="00906686">
        <w:rPr>
          <w:rFonts w:ascii="TimesNewRomanPSMT" w:hAnsi="TimesNewRomanPSMT" w:cs="TimesNewRomanPSMT"/>
          <w:sz w:val="24"/>
          <w:szCs w:val="24"/>
        </w:rPr>
        <w:t>.</w:t>
      </w:r>
    </w:p>
    <w:p w:rsidR="00526482" w:rsidRDefault="00526482" w:rsidP="0090668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782D13" w:rsidRDefault="00782D13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FC15E8" w:rsidRPr="00B4488F" w:rsidTr="00FC3078">
        <w:trPr>
          <w:trHeight w:val="771"/>
        </w:trPr>
        <w:tc>
          <w:tcPr>
            <w:tcW w:w="9346" w:type="dxa"/>
            <w:gridSpan w:val="4"/>
            <w:shd w:val="clear" w:color="auto" w:fill="8DB3E2"/>
            <w:vAlign w:val="center"/>
          </w:tcPr>
          <w:p w:rsidR="00FC15E8" w:rsidRPr="00DA6D00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5</w:t>
            </w:r>
            <w:r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FC15E8">
              <w:rPr>
                <w:rFonts w:ascii="Calibri" w:eastAsia="Calibri" w:hAnsi="Calibri" w:cs="Arial"/>
                <w:b/>
                <w:sz w:val="24"/>
              </w:rPr>
              <w:t>SUDJELOVANJE U RAZLIČITIM MEĐUNARODNIM PROJEKTIMA</w:t>
            </w:r>
          </w:p>
        </w:tc>
      </w:tr>
      <w:tr w:rsidR="00FC15E8" w:rsidRPr="00B4488F" w:rsidTr="00FC3078">
        <w:trPr>
          <w:trHeight w:val="771"/>
        </w:trPr>
        <w:tc>
          <w:tcPr>
            <w:tcW w:w="2336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6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FC15E8" w:rsidRPr="00B4488F" w:rsidRDefault="00FC15E8" w:rsidP="00FC3078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FC15E8" w:rsidRPr="00290031" w:rsidTr="00FC15E8">
        <w:trPr>
          <w:trHeight w:val="4963"/>
        </w:trPr>
        <w:tc>
          <w:tcPr>
            <w:tcW w:w="2336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-Sudjelovati u provođenju različitih međunarodnih projekata kao škola partner ili kao škola prijavitelj 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P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-Informiranje i educiranje nastavnika o mogućnostima uključivanja u različite međunarodne projekte</w:t>
            </w:r>
          </w:p>
          <w:p w:rsidR="00FC15E8" w:rsidRDefault="00FC15E8" w:rsidP="00FC15E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-Prijave i sudjelovanje u međunarodnim projektima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15E8" w:rsidRPr="00782D13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  <w:p w:rsidR="000061DD" w:rsidRDefault="000061DD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-Broj međunarodnih projekata u koje je škola uključena</w:t>
            </w: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FC15E8" w:rsidRPr="00290031" w:rsidRDefault="00FC15E8" w:rsidP="00FC3078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FC15E8" w:rsidRDefault="00FC15E8" w:rsidP="00137A7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57959" w:rsidRDefault="00157959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636FC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636FCC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4</w:t>
      </w:r>
      <w:r w:rsidR="00636FCC" w:rsidRPr="00D26751">
        <w:rPr>
          <w:rFonts w:ascii="TimesNewRomanPSMT" w:hAnsi="TimesNewRomanPSMT" w:cs="TimesNewRomanPSMT"/>
          <w:b/>
          <w:sz w:val="24"/>
          <w:szCs w:val="24"/>
        </w:rPr>
        <w:t xml:space="preserve">.6 </w:t>
      </w:r>
      <w:r w:rsidR="00636FCC">
        <w:rPr>
          <w:rFonts w:ascii="TimesNewRomanPSMT" w:hAnsi="TimesNewRomanPSMT" w:cs="TimesNewRomanPSMT"/>
          <w:sz w:val="24"/>
          <w:szCs w:val="24"/>
        </w:rPr>
        <w:t xml:space="preserve"> </w:t>
      </w:r>
      <w:r w:rsidR="00636FCC" w:rsidRPr="00D4426C">
        <w:rPr>
          <w:rFonts w:ascii="TimesNewRomanPSMT" w:hAnsi="TimesNewRomanPSMT" w:cs="TimesNewRomanPSMT"/>
          <w:b/>
          <w:sz w:val="24"/>
          <w:szCs w:val="24"/>
        </w:rPr>
        <w:t>UVOĐENJE ECVET SUSTAVA BODOVANJA ZA SVA OBRAZOVNA ZANIMANJA</w:t>
      </w:r>
    </w:p>
    <w:p w:rsidR="00D4426C" w:rsidRDefault="00D4426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D4426C" w:rsidRPr="00D4426C" w:rsidRDefault="00D4426C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 w:rsidRPr="00D4426C">
        <w:rPr>
          <w:rFonts w:ascii="TimesNewRomanPSMT" w:hAnsi="TimesNewRomanPSMT" w:cs="TimesNewRomanPSMT"/>
          <w:sz w:val="24"/>
          <w:szCs w:val="24"/>
        </w:rPr>
        <w:t xml:space="preserve">Obrtna tehnička škola će u suradnji s Agencijom za strukovno obrazovanje i stručnjacima zaduženim za </w:t>
      </w:r>
      <w:proofErr w:type="spellStart"/>
      <w:r w:rsidRPr="00D4426C">
        <w:rPr>
          <w:rFonts w:ascii="TimesNewRomanPSMT" w:hAnsi="TimesNewRomanPSMT" w:cs="TimesNewRomanPSMT"/>
          <w:sz w:val="24"/>
          <w:szCs w:val="24"/>
        </w:rPr>
        <w:t>kurikularnu</w:t>
      </w:r>
      <w:proofErr w:type="spellEnd"/>
      <w:r w:rsidRPr="00D4426C">
        <w:rPr>
          <w:rFonts w:ascii="TimesNewRomanPSMT" w:hAnsi="TimesNewRomanPSMT" w:cs="TimesNewRomanPSMT"/>
          <w:sz w:val="24"/>
          <w:szCs w:val="24"/>
        </w:rPr>
        <w:t xml:space="preserve"> reformu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26751">
        <w:rPr>
          <w:rFonts w:ascii="TimesNewRomanPSMT" w:hAnsi="TimesNewRomanPSMT" w:cs="TimesNewRomanPSMT"/>
          <w:sz w:val="24"/>
          <w:szCs w:val="24"/>
        </w:rPr>
        <w:t>aktivn</w:t>
      </w:r>
      <w:r w:rsidRPr="00D4426C">
        <w:rPr>
          <w:rFonts w:ascii="TimesNewRomanPSMT" w:hAnsi="TimesNewRomanPSMT" w:cs="TimesNewRomanPSMT"/>
          <w:sz w:val="24"/>
          <w:szCs w:val="24"/>
        </w:rPr>
        <w:t>o sudjelovati u pripremi i izradi novih strukovnih kurikuluma s međunarodnim sustavom vrednovanja ishoda učenja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7"/>
      </w:tblGrid>
      <w:tr w:rsidR="00636FCC" w:rsidRPr="00B4488F" w:rsidTr="003F491E">
        <w:trPr>
          <w:trHeight w:val="771"/>
        </w:trPr>
        <w:tc>
          <w:tcPr>
            <w:tcW w:w="9346" w:type="dxa"/>
            <w:gridSpan w:val="4"/>
            <w:shd w:val="clear" w:color="auto" w:fill="8DB3E2"/>
            <w:vAlign w:val="center"/>
          </w:tcPr>
          <w:p w:rsidR="00636FCC" w:rsidRPr="00DA6D00" w:rsidRDefault="00BE58EA" w:rsidP="003F491E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4"/>
              </w:rPr>
            </w:pPr>
            <w:r>
              <w:rPr>
                <w:rFonts w:ascii="Calibri" w:eastAsia="Calibri" w:hAnsi="Calibri" w:cs="Arial"/>
                <w:b/>
                <w:sz w:val="24"/>
              </w:rPr>
              <w:t>STRATEŠKI CILJ 6</w:t>
            </w:r>
            <w:r w:rsidR="00636FCC" w:rsidRPr="00DA6D00">
              <w:rPr>
                <w:rFonts w:ascii="Calibri" w:eastAsia="Calibri" w:hAnsi="Calibri" w:cs="Arial"/>
                <w:b/>
                <w:sz w:val="24"/>
              </w:rPr>
              <w:t>.</w:t>
            </w:r>
          </w:p>
          <w:p w:rsidR="00636FCC" w:rsidRPr="00B4488F" w:rsidRDefault="00636FCC" w:rsidP="003F491E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636FCC">
              <w:rPr>
                <w:rFonts w:ascii="Calibri" w:eastAsia="Calibri" w:hAnsi="Calibri" w:cs="Arial"/>
                <w:b/>
                <w:sz w:val="24"/>
              </w:rPr>
              <w:t>UVOĐENJE ECVET SUSTAVA BODOVANJA ZA SVA OBRAZOVNA ZANIMANJA</w:t>
            </w:r>
          </w:p>
        </w:tc>
      </w:tr>
      <w:tr w:rsidR="00636FCC" w:rsidRPr="00B4488F" w:rsidTr="003F491E">
        <w:trPr>
          <w:trHeight w:val="771"/>
        </w:trPr>
        <w:tc>
          <w:tcPr>
            <w:tcW w:w="2336" w:type="dxa"/>
            <w:shd w:val="clear" w:color="auto" w:fill="8DB3E2"/>
            <w:vAlign w:val="center"/>
          </w:tcPr>
          <w:p w:rsidR="00636FCC" w:rsidRPr="00B4488F" w:rsidRDefault="00636FCC" w:rsidP="003F491E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>
              <w:rPr>
                <w:rFonts w:ascii="Calibri" w:eastAsia="Calibri" w:hAnsi="Calibri" w:cs="Arial"/>
                <w:b/>
                <w:sz w:val="20"/>
              </w:rPr>
              <w:t xml:space="preserve">SPECIFIČNI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636FCC" w:rsidRPr="00B4488F" w:rsidRDefault="00636FCC" w:rsidP="003F491E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 xml:space="preserve">AKTIVNOSTI ZA OSTVARIVANJE </w:t>
            </w:r>
            <w:r>
              <w:rPr>
                <w:rFonts w:ascii="Calibri" w:eastAsia="Calibri" w:hAnsi="Calibri" w:cs="Arial"/>
                <w:b/>
                <w:sz w:val="20"/>
              </w:rPr>
              <w:t xml:space="preserve">SPECIFIČNIH </w:t>
            </w:r>
            <w:r w:rsidRPr="00B4488F">
              <w:rPr>
                <w:rFonts w:ascii="Calibri" w:eastAsia="Calibri" w:hAnsi="Calibri" w:cs="Arial"/>
                <w:b/>
                <w:sz w:val="20"/>
              </w:rPr>
              <w:t>CILJEVA</w:t>
            </w:r>
          </w:p>
        </w:tc>
        <w:tc>
          <w:tcPr>
            <w:tcW w:w="2336" w:type="dxa"/>
            <w:shd w:val="clear" w:color="auto" w:fill="8DB3E2"/>
            <w:vAlign w:val="center"/>
          </w:tcPr>
          <w:p w:rsidR="00636FCC" w:rsidRPr="00B4488F" w:rsidRDefault="00636FCC" w:rsidP="003F491E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OSOBE ODGOVORNE ZA PROVEDBU AKTIVNOSTI</w:t>
            </w:r>
          </w:p>
        </w:tc>
        <w:tc>
          <w:tcPr>
            <w:tcW w:w="2337" w:type="dxa"/>
            <w:shd w:val="clear" w:color="auto" w:fill="8DB3E2"/>
            <w:vAlign w:val="center"/>
          </w:tcPr>
          <w:p w:rsidR="00636FCC" w:rsidRPr="00B4488F" w:rsidRDefault="00636FCC" w:rsidP="003F491E">
            <w:pPr>
              <w:spacing w:after="200" w:line="276" w:lineRule="auto"/>
              <w:ind w:right="-56"/>
              <w:rPr>
                <w:rFonts w:ascii="Calibri" w:eastAsia="Calibri" w:hAnsi="Calibri" w:cs="Arial"/>
                <w:b/>
                <w:sz w:val="20"/>
              </w:rPr>
            </w:pPr>
            <w:r w:rsidRPr="00B4488F">
              <w:rPr>
                <w:rFonts w:ascii="Calibri" w:eastAsia="Calibri" w:hAnsi="Calibri" w:cs="Arial"/>
                <w:b/>
                <w:sz w:val="20"/>
              </w:rPr>
              <w:t>MJERLJIVI POKAZATELJI OSTVARIVANJA CILJEVA</w:t>
            </w:r>
          </w:p>
        </w:tc>
      </w:tr>
      <w:tr w:rsidR="00636FCC" w:rsidRPr="00290031" w:rsidTr="003F491E">
        <w:trPr>
          <w:trHeight w:val="4963"/>
        </w:trPr>
        <w:tc>
          <w:tcPr>
            <w:tcW w:w="2336" w:type="dxa"/>
            <w:shd w:val="clear" w:color="auto" w:fill="C6D9F1" w:themeFill="text2" w:themeFillTint="33"/>
            <w:vAlign w:val="center"/>
          </w:tcPr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-Izraditi kurikulume</w:t>
            </w:r>
            <w:r w:rsidR="00D26751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za sva zanimanja koja se obrazuju u našoj školi</w:t>
            </w:r>
            <w:r w:rsidR="00D26751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 mjerljivim ishodima poučavanja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-Povezati mjerljive ishode učenja s ECVET bodovima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Pr="00290031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FC15E8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Suradnja s Agencijom za strukovno obrazovanje na izradi novih kurikuluma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-Uključivanje 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kurikularnu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reformu strukovnog obrazovanja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-Edukacija nastavnika o poučavanju usmjerenom na ishode i vrednovanju ishoda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36FCC" w:rsidRPr="00782D13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-Školski projektni tim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-Ravnatelj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-Nastavničko vijeće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-Agencija za strukovno obrazovanje</w:t>
            </w:r>
          </w:p>
          <w:p w:rsidR="00D26751" w:rsidRDefault="00D26751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-Tim za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kurikularnu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reformu strukovnog školstva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Pr="00290031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:rsidR="00D56BDD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-</w:t>
            </w:r>
            <w:r w:rsidR="00D56BDD">
              <w:rPr>
                <w:rFonts w:ascii="Arial" w:eastAsia="Calibri" w:hAnsi="Arial" w:cs="Arial"/>
                <w:sz w:val="20"/>
              </w:rPr>
              <w:t xml:space="preserve">Broj novih strukovnih kurikuluma u našoj školi, izrađenih u skladu s </w:t>
            </w:r>
            <w:r w:rsidR="00D26751">
              <w:rPr>
                <w:rFonts w:ascii="Arial" w:eastAsia="Calibri" w:hAnsi="Arial" w:cs="Arial"/>
                <w:sz w:val="20"/>
              </w:rPr>
              <w:t>E</w:t>
            </w:r>
            <w:r w:rsidR="00D56BDD">
              <w:rPr>
                <w:rFonts w:ascii="Arial" w:eastAsia="Calibri" w:hAnsi="Arial" w:cs="Arial"/>
                <w:sz w:val="20"/>
              </w:rPr>
              <w:t xml:space="preserve">uropskim </w:t>
            </w:r>
            <w:r w:rsidR="00D26751">
              <w:rPr>
                <w:rFonts w:ascii="Arial" w:eastAsia="Calibri" w:hAnsi="Arial" w:cs="Arial"/>
                <w:sz w:val="20"/>
              </w:rPr>
              <w:t>kvalifikacijskim okvirom</w:t>
            </w: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  <w:p w:rsidR="00636FCC" w:rsidRPr="00290031" w:rsidRDefault="00636FCC" w:rsidP="003F491E">
            <w:pPr>
              <w:spacing w:after="200" w:line="276" w:lineRule="auto"/>
              <w:ind w:right="-56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</w:tbl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C15E8" w:rsidRDefault="00FC15E8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929CA" w:rsidRDefault="004929C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929CA" w:rsidRDefault="004929C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929CA" w:rsidRDefault="004929C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4929CA" w:rsidRDefault="004929C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BE58EA" w:rsidRDefault="00BE58EA" w:rsidP="00FF6A8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BE58EA" w:rsidRDefault="00BE58EA" w:rsidP="00FF6A8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FF6A8A" w:rsidRDefault="00BE58EA" w:rsidP="00FF6A8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5</w:t>
      </w:r>
      <w:r w:rsidR="00FF6A8A" w:rsidRPr="00DD0FE0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="00FF6A8A">
        <w:rPr>
          <w:rFonts w:ascii="TimesNewRomanPSMT" w:hAnsi="TimesNewRomanPSMT" w:cs="TimesNewRomanPSMT"/>
          <w:b/>
          <w:sz w:val="24"/>
          <w:szCs w:val="24"/>
        </w:rPr>
        <w:t>FINANCIJSKI POKAZATELJI</w:t>
      </w:r>
    </w:p>
    <w:p w:rsidR="00FF6A8A" w:rsidRDefault="00FF6A8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FF6A8A" w:rsidRDefault="00FF6A8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 obzirom na to da škola nema vlastite izvore financiranja, koje bi mogla koristiti za provedbu međunarodnih projekata, planiranje i provedba naših projekata ovisi o dobivenim sredstvima za koje apliciramo. Planirane edukacija za naše djelatnike unutar škole (npr. dodatni sati engleskog jezika), te planirana predavanja i radionice, možemo financirati iz vlastitih financijskih resursa. </w:t>
      </w:r>
    </w:p>
    <w:p w:rsidR="00FF6A8A" w:rsidRDefault="00FF6A8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157959" w:rsidRDefault="00157959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6</w:t>
      </w:r>
      <w:r w:rsidR="005F452A" w:rsidRPr="00DD0FE0">
        <w:rPr>
          <w:rFonts w:ascii="TimesNewRomanPSMT" w:hAnsi="TimesNewRomanPSMT" w:cs="TimesNewRomanPSMT"/>
          <w:b/>
          <w:sz w:val="24"/>
          <w:szCs w:val="24"/>
        </w:rPr>
        <w:t>. PROVEDBA STRATEGIJE</w:t>
      </w:r>
    </w:p>
    <w:p w:rsidR="00DD0FE0" w:rsidRP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Zadaci u ostvarivanju strategije i ciljeva in</w:t>
      </w:r>
      <w:r w:rsidR="00D26751">
        <w:rPr>
          <w:rFonts w:ascii="TimesNewRomanPSMT" w:hAnsi="TimesNewRomanPSMT" w:cs="TimesNewRomanPSMT"/>
          <w:sz w:val="24"/>
          <w:szCs w:val="24"/>
        </w:rPr>
        <w:t>ternacionalizacije utvrđuju se Akcijskim p</w:t>
      </w:r>
      <w:r>
        <w:rPr>
          <w:rFonts w:ascii="TimesNewRomanPSMT" w:hAnsi="TimesNewRomanPSMT" w:cs="TimesNewRomanPSMT"/>
          <w:sz w:val="24"/>
          <w:szCs w:val="24"/>
        </w:rPr>
        <w:t>lanom</w:t>
      </w:r>
      <w:r w:rsidR="00DD0FE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aktivnosti i mjera za poticanje međ</w:t>
      </w:r>
      <w:r w:rsidR="00D26751">
        <w:rPr>
          <w:rFonts w:ascii="TimesNewRomanPSMT" w:hAnsi="TimesNewRomanPSMT" w:cs="TimesNewRomanPSMT"/>
          <w:sz w:val="24"/>
          <w:szCs w:val="24"/>
        </w:rPr>
        <w:t xml:space="preserve">unarodne suradnje i mobilnosti </w:t>
      </w:r>
      <w:r>
        <w:rPr>
          <w:rFonts w:ascii="TimesNewRomanPSMT" w:hAnsi="TimesNewRomanPSMT" w:cs="TimesNewRomanPSMT"/>
          <w:sz w:val="24"/>
          <w:szCs w:val="24"/>
        </w:rPr>
        <w:t>koji se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utvrđuje za </w:t>
      </w:r>
      <w:r w:rsidR="00636FCC">
        <w:rPr>
          <w:rFonts w:ascii="TimesNewRomanPSMT" w:hAnsi="TimesNewRomanPSMT" w:cs="TimesNewRomanPSMT"/>
          <w:sz w:val="24"/>
          <w:szCs w:val="24"/>
        </w:rPr>
        <w:t>svaku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36FCC">
        <w:rPr>
          <w:rFonts w:ascii="TimesNewRomanPSMT" w:hAnsi="TimesNewRomanPSMT" w:cs="TimesNewRomanPSMT"/>
          <w:sz w:val="24"/>
          <w:szCs w:val="24"/>
        </w:rPr>
        <w:t>školsku godinu</w:t>
      </w:r>
      <w:r>
        <w:rPr>
          <w:rFonts w:ascii="TimesNewRomanPSMT" w:hAnsi="TimesNewRomanPSMT" w:cs="TimesNewRomanPSMT"/>
          <w:sz w:val="24"/>
          <w:szCs w:val="24"/>
        </w:rPr>
        <w:t>. Izvršenje zadataka utvrđenih u tom planu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prati se kontinuirano, s tim da se na kraju svake </w:t>
      </w:r>
      <w:r w:rsidR="00DD0FE0">
        <w:rPr>
          <w:rFonts w:ascii="TimesNewRomanPSMT" w:hAnsi="TimesNewRomanPSMT" w:cs="TimesNewRomanPSMT"/>
          <w:sz w:val="24"/>
          <w:szCs w:val="24"/>
        </w:rPr>
        <w:t>školske</w:t>
      </w:r>
      <w:r>
        <w:rPr>
          <w:rFonts w:ascii="TimesNewRomanPSMT" w:hAnsi="TimesNewRomanPSMT" w:cs="TimesNewRomanPSMT"/>
          <w:sz w:val="24"/>
          <w:szCs w:val="24"/>
        </w:rPr>
        <w:t xml:space="preserve"> godine ocjenjuje njihovo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izvršenje i poduzimaju mjere za njihovu realizaciju.</w:t>
      </w:r>
    </w:p>
    <w:p w:rsid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</w:p>
    <w:p w:rsidR="005F452A" w:rsidRDefault="00BE58E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7</w:t>
      </w:r>
      <w:r w:rsidR="005F452A" w:rsidRPr="00DD0FE0">
        <w:rPr>
          <w:rFonts w:ascii="TimesNewRomanPSMT" w:hAnsi="TimesNewRomanPSMT" w:cs="TimesNewRomanPSMT"/>
          <w:b/>
          <w:sz w:val="24"/>
          <w:szCs w:val="24"/>
        </w:rPr>
        <w:t>. NOVELIRANJE STRATEGIJE</w:t>
      </w:r>
    </w:p>
    <w:p w:rsidR="00DD0FE0" w:rsidRPr="00DD0FE0" w:rsidRDefault="00DD0FE0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b/>
          <w:sz w:val="24"/>
          <w:szCs w:val="24"/>
        </w:rPr>
      </w:pP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Strategija internacionalizacije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novelira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svake godine na temelju analize</w:t>
      </w:r>
    </w:p>
    <w:p w:rsidR="005F452A" w:rsidRDefault="005F452A" w:rsidP="005F452A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ostvarivanja strateških ciljeva i planiranih aktivnosti na području međunarodne suradnje i</w:t>
      </w:r>
      <w:r w:rsidR="00DD0FE0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mobilnosti.</w:t>
      </w:r>
    </w:p>
    <w:p w:rsidR="00E958B3" w:rsidRPr="00DD0FE0" w:rsidRDefault="005F452A" w:rsidP="00DD0FE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Strategija internacionalizacije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novelira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se i prilikom svakog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noveliranja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DD0FE0">
        <w:rPr>
          <w:rFonts w:ascii="TimesNewRomanPSMT" w:hAnsi="TimesNewRomanPSMT" w:cs="TimesNewRomanPSMT"/>
          <w:sz w:val="24"/>
          <w:szCs w:val="24"/>
        </w:rPr>
        <w:t>razvojnog plana škole.</w:t>
      </w:r>
    </w:p>
    <w:sectPr w:rsidR="00E958B3" w:rsidRPr="00DD0FE0" w:rsidSect="005F45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A3" w:rsidRDefault="00390DA3" w:rsidP="005F452A">
      <w:r>
        <w:separator/>
      </w:r>
    </w:p>
  </w:endnote>
  <w:endnote w:type="continuationSeparator" w:id="0">
    <w:p w:rsidR="00390DA3" w:rsidRDefault="00390DA3" w:rsidP="005F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699448"/>
      <w:docPartObj>
        <w:docPartGallery w:val="Page Numbers (Bottom of Page)"/>
        <w:docPartUnique/>
      </w:docPartObj>
    </w:sdtPr>
    <w:sdtEndPr/>
    <w:sdtContent>
      <w:p w:rsidR="00D26751" w:rsidRDefault="00D267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FED">
          <w:rPr>
            <w:noProof/>
          </w:rPr>
          <w:t>2</w:t>
        </w:r>
        <w:r>
          <w:fldChar w:fldCharType="end"/>
        </w:r>
      </w:p>
    </w:sdtContent>
  </w:sdt>
  <w:p w:rsidR="005F452A" w:rsidRDefault="005F452A" w:rsidP="00B324D5">
    <w:pPr>
      <w:pStyle w:val="Podnoje"/>
      <w:ind w:left="90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A3" w:rsidRDefault="00390DA3" w:rsidP="005F452A">
      <w:r>
        <w:separator/>
      </w:r>
    </w:p>
  </w:footnote>
  <w:footnote w:type="continuationSeparator" w:id="0">
    <w:p w:rsidR="00390DA3" w:rsidRDefault="00390DA3" w:rsidP="005F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2A" w:rsidRDefault="00B324D5" w:rsidP="00B324D5">
    <w:pPr>
      <w:pStyle w:val="Zaglavlje"/>
      <w:jc w:val="both"/>
    </w:pPr>
    <w:r>
      <w:rPr>
        <w:noProof/>
        <w:lang w:eastAsia="hr-HR"/>
      </w:rPr>
      <w:drawing>
        <wp:inline distT="0" distB="0" distL="0" distR="0" wp14:anchorId="6E9F155D" wp14:editId="680393D6">
          <wp:extent cx="654715" cy="696882"/>
          <wp:effectExtent l="0" t="0" r="0" b="825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86" cy="69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 w:rsidR="005F452A">
      <w:t>-STRATEGIJA INTERNACIONALIZACIJE</w:t>
    </w:r>
  </w:p>
  <w:p w:rsidR="00FE7591" w:rsidRDefault="00DC0E05" w:rsidP="00FE7591">
    <w:pPr>
      <w:pStyle w:val="Zaglavlje"/>
      <w:ind w:left="4248"/>
    </w:pPr>
    <w:r>
      <w:t xml:space="preserve">                      2016.-2021</w:t>
    </w:r>
    <w:r w:rsidR="00FE7591"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0D2D"/>
    <w:multiLevelType w:val="hybridMultilevel"/>
    <w:tmpl w:val="2674BD7A"/>
    <w:lvl w:ilvl="0" w:tplc="02F02B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A48EB"/>
    <w:multiLevelType w:val="hybridMultilevel"/>
    <w:tmpl w:val="56FA2DA0"/>
    <w:lvl w:ilvl="0" w:tplc="B3BA9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51"/>
    <w:rsid w:val="000061DD"/>
    <w:rsid w:val="0001393C"/>
    <w:rsid w:val="00015A40"/>
    <w:rsid w:val="000367DE"/>
    <w:rsid w:val="00071159"/>
    <w:rsid w:val="00137A72"/>
    <w:rsid w:val="00157959"/>
    <w:rsid w:val="001B08E1"/>
    <w:rsid w:val="001D6412"/>
    <w:rsid w:val="001F67E2"/>
    <w:rsid w:val="00290031"/>
    <w:rsid w:val="00361AF0"/>
    <w:rsid w:val="00390DA3"/>
    <w:rsid w:val="003C594E"/>
    <w:rsid w:val="003E631F"/>
    <w:rsid w:val="0041354E"/>
    <w:rsid w:val="004929CA"/>
    <w:rsid w:val="004A0445"/>
    <w:rsid w:val="004C7803"/>
    <w:rsid w:val="00526482"/>
    <w:rsid w:val="005952D6"/>
    <w:rsid w:val="005B24E9"/>
    <w:rsid w:val="005D4BB0"/>
    <w:rsid w:val="005E16C3"/>
    <w:rsid w:val="005F452A"/>
    <w:rsid w:val="00636FCC"/>
    <w:rsid w:val="006D49DB"/>
    <w:rsid w:val="006E562D"/>
    <w:rsid w:val="00782D13"/>
    <w:rsid w:val="00790073"/>
    <w:rsid w:val="007F6790"/>
    <w:rsid w:val="00881F72"/>
    <w:rsid w:val="008F4828"/>
    <w:rsid w:val="0090551C"/>
    <w:rsid w:val="00906686"/>
    <w:rsid w:val="00A374A9"/>
    <w:rsid w:val="00B324D5"/>
    <w:rsid w:val="00B4488F"/>
    <w:rsid w:val="00B66CF5"/>
    <w:rsid w:val="00B8241B"/>
    <w:rsid w:val="00BA2567"/>
    <w:rsid w:val="00BE58EA"/>
    <w:rsid w:val="00C30751"/>
    <w:rsid w:val="00C87A48"/>
    <w:rsid w:val="00CC6F96"/>
    <w:rsid w:val="00CE2FED"/>
    <w:rsid w:val="00CF0480"/>
    <w:rsid w:val="00D26751"/>
    <w:rsid w:val="00D4426C"/>
    <w:rsid w:val="00D56BDD"/>
    <w:rsid w:val="00DA6D00"/>
    <w:rsid w:val="00DC0E05"/>
    <w:rsid w:val="00DD0FE0"/>
    <w:rsid w:val="00E12AB9"/>
    <w:rsid w:val="00E958B3"/>
    <w:rsid w:val="00E97E28"/>
    <w:rsid w:val="00EB5037"/>
    <w:rsid w:val="00F6630A"/>
    <w:rsid w:val="00FB31B9"/>
    <w:rsid w:val="00FC15E8"/>
    <w:rsid w:val="00FE759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45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5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452A"/>
  </w:style>
  <w:style w:type="paragraph" w:styleId="Podnoje">
    <w:name w:val="footer"/>
    <w:basedOn w:val="Normal"/>
    <w:link w:val="Podno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452A"/>
  </w:style>
  <w:style w:type="paragraph" w:styleId="Odlomakpopisa">
    <w:name w:val="List Paragraph"/>
    <w:basedOn w:val="Normal"/>
    <w:uiPriority w:val="34"/>
    <w:qFormat/>
    <w:rsid w:val="00FC15E8"/>
    <w:pPr>
      <w:ind w:left="720"/>
      <w:contextualSpacing/>
    </w:pPr>
  </w:style>
  <w:style w:type="character" w:customStyle="1" w:styleId="hps">
    <w:name w:val="hps"/>
    <w:rsid w:val="00FE7591"/>
  </w:style>
  <w:style w:type="character" w:customStyle="1" w:styleId="Naslov1Char">
    <w:name w:val="Naslov 1 Char"/>
    <w:basedOn w:val="Zadanifontodlomka"/>
    <w:link w:val="Naslov1"/>
    <w:uiPriority w:val="9"/>
    <w:rsid w:val="0007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071159"/>
    <w:pPr>
      <w:spacing w:line="276" w:lineRule="auto"/>
      <w:jc w:val="left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220"/>
      <w:jc w:val="left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jc w:val="left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440"/>
      <w:jc w:val="left"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45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52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452A"/>
  </w:style>
  <w:style w:type="paragraph" w:styleId="Podnoje">
    <w:name w:val="footer"/>
    <w:basedOn w:val="Normal"/>
    <w:link w:val="PodnojeChar"/>
    <w:uiPriority w:val="99"/>
    <w:unhideWhenUsed/>
    <w:rsid w:val="005F45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452A"/>
  </w:style>
  <w:style w:type="paragraph" w:styleId="Odlomakpopisa">
    <w:name w:val="List Paragraph"/>
    <w:basedOn w:val="Normal"/>
    <w:uiPriority w:val="34"/>
    <w:qFormat/>
    <w:rsid w:val="00FC15E8"/>
    <w:pPr>
      <w:ind w:left="720"/>
      <w:contextualSpacing/>
    </w:pPr>
  </w:style>
  <w:style w:type="character" w:customStyle="1" w:styleId="hps">
    <w:name w:val="hps"/>
    <w:rsid w:val="00FE7591"/>
  </w:style>
  <w:style w:type="character" w:customStyle="1" w:styleId="Naslov1Char">
    <w:name w:val="Naslov 1 Char"/>
    <w:basedOn w:val="Zadanifontodlomka"/>
    <w:link w:val="Naslov1"/>
    <w:uiPriority w:val="9"/>
    <w:rsid w:val="0007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071159"/>
    <w:pPr>
      <w:spacing w:line="276" w:lineRule="auto"/>
      <w:jc w:val="left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220"/>
      <w:jc w:val="left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jc w:val="left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071159"/>
    <w:pPr>
      <w:spacing w:after="100" w:line="276" w:lineRule="auto"/>
      <w:ind w:left="440"/>
      <w:jc w:val="left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95BA-70EF-4C7B-9F54-177258AA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13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OTS</cp:lastModifiedBy>
  <cp:revision>34</cp:revision>
  <dcterms:created xsi:type="dcterms:W3CDTF">2016-05-05T09:00:00Z</dcterms:created>
  <dcterms:modified xsi:type="dcterms:W3CDTF">2016-05-19T08:18:00Z</dcterms:modified>
</cp:coreProperties>
</file>