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1196"/>
        <w:gridCol w:w="6249"/>
      </w:tblGrid>
      <w:tr w:rsidR="00955E35" w:rsidRPr="003A3C1D" w14:paraId="04B3427B" w14:textId="77777777" w:rsidTr="00515DF2">
        <w:tc>
          <w:tcPr>
            <w:tcW w:w="1617" w:type="dxa"/>
            <w:shd w:val="clear" w:color="auto" w:fill="D9D9D9"/>
          </w:tcPr>
          <w:p w14:paraId="7CB11526" w14:textId="77777777" w:rsidR="00955E35" w:rsidRPr="003A3C1D" w:rsidRDefault="00955E35" w:rsidP="00955E35">
            <w:pPr>
              <w:rPr>
                <w:b/>
                <w:color w:val="000000"/>
                <w:sz w:val="28"/>
                <w:szCs w:val="28"/>
              </w:rPr>
            </w:pPr>
            <w:r w:rsidRPr="003A3C1D">
              <w:rPr>
                <w:b/>
                <w:color w:val="000000"/>
                <w:sz w:val="28"/>
                <w:szCs w:val="28"/>
              </w:rPr>
              <w:t>RAZDJEL:</w:t>
            </w:r>
          </w:p>
        </w:tc>
        <w:tc>
          <w:tcPr>
            <w:tcW w:w="813" w:type="dxa"/>
          </w:tcPr>
          <w:p w14:paraId="30856032" w14:textId="77777777" w:rsidR="00955E35" w:rsidRDefault="00C964D5" w:rsidP="00955E3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964D5">
              <w:rPr>
                <w:b/>
                <w:bCs/>
                <w:color w:val="000000"/>
                <w:sz w:val="28"/>
                <w:szCs w:val="28"/>
              </w:rPr>
              <w:t>Šifra</w:t>
            </w:r>
            <w:r w:rsidR="00955E35" w:rsidRPr="00C964D5">
              <w:rPr>
                <w:b/>
                <w:bCs/>
                <w:color w:val="000000"/>
                <w:sz w:val="28"/>
                <w:szCs w:val="28"/>
              </w:rPr>
              <w:t xml:space="preserve"> razdjela</w:t>
            </w:r>
          </w:p>
          <w:p w14:paraId="07C82EB7" w14:textId="77777777" w:rsidR="002A2893" w:rsidRPr="00C964D5" w:rsidRDefault="002A2893" w:rsidP="00955E3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858" w:type="dxa"/>
          </w:tcPr>
          <w:p w14:paraId="25B4E013" w14:textId="77777777" w:rsidR="00955E35" w:rsidRDefault="00955E35" w:rsidP="00955E3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964D5">
              <w:rPr>
                <w:b/>
                <w:bCs/>
                <w:color w:val="000000"/>
                <w:sz w:val="28"/>
                <w:szCs w:val="28"/>
              </w:rPr>
              <w:t>Naziv razdjela</w:t>
            </w:r>
          </w:p>
          <w:p w14:paraId="2704F838" w14:textId="77777777" w:rsidR="002A2893" w:rsidRPr="00C964D5" w:rsidRDefault="002A2893" w:rsidP="00955E3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Upravni odjel za prosvjetu, kulturu, tehničku kulturu i sport</w:t>
            </w:r>
          </w:p>
        </w:tc>
      </w:tr>
    </w:tbl>
    <w:p w14:paraId="6C0A1CC2" w14:textId="77777777" w:rsidR="009F575B" w:rsidRDefault="009F575B" w:rsidP="009F575B">
      <w:pPr>
        <w:rPr>
          <w:color w:val="FF0000"/>
        </w:rPr>
      </w:pPr>
    </w:p>
    <w:p w14:paraId="5AFE2188" w14:textId="77777777" w:rsidR="00955E35" w:rsidRDefault="00955E35" w:rsidP="009F575B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7434"/>
      </w:tblGrid>
      <w:tr w:rsidR="00955E35" w:rsidRPr="003A3C1D" w14:paraId="1A5CBE8C" w14:textId="77777777" w:rsidTr="00955E35">
        <w:trPr>
          <w:trHeight w:val="581"/>
        </w:trPr>
        <w:tc>
          <w:tcPr>
            <w:tcW w:w="898" w:type="pct"/>
            <w:tcBorders>
              <w:bottom w:val="single" w:sz="4" w:space="0" w:color="auto"/>
            </w:tcBorders>
            <w:shd w:val="clear" w:color="auto" w:fill="D9D9D9"/>
          </w:tcPr>
          <w:p w14:paraId="62593D57" w14:textId="77777777" w:rsidR="00955E35" w:rsidRPr="003A3C1D" w:rsidRDefault="00955E35" w:rsidP="00515DF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Sažetak djelokruga rada:</w:t>
            </w:r>
          </w:p>
        </w:tc>
        <w:tc>
          <w:tcPr>
            <w:tcW w:w="4102" w:type="pct"/>
            <w:tcBorders>
              <w:bottom w:val="single" w:sz="4" w:space="0" w:color="auto"/>
            </w:tcBorders>
          </w:tcPr>
          <w:p w14:paraId="149311C4" w14:textId="77777777" w:rsidR="00955E35" w:rsidRPr="003A3C1D" w:rsidRDefault="00955E35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691D59E7" w14:textId="77777777" w:rsidR="00955E35" w:rsidRDefault="00955E35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260EDA9F" w14:textId="77777777" w:rsidR="00FA0D9D" w:rsidRDefault="00FA0D9D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22E5C83A" w14:textId="77777777" w:rsidR="00FA0D9D" w:rsidRDefault="00FA0D9D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643F10F7" w14:textId="77777777" w:rsidR="00584469" w:rsidRDefault="00584469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627AC0E6" w14:textId="77777777" w:rsidR="00584469" w:rsidRDefault="00584469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1A472A59" w14:textId="77777777" w:rsidR="00584469" w:rsidRPr="003A3C1D" w:rsidRDefault="00584469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3730564C" w14:textId="77777777" w:rsidR="00955E35" w:rsidRPr="003A3C1D" w:rsidRDefault="00955E35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546B83C4" w14:textId="77777777" w:rsidR="00955E35" w:rsidRDefault="00955E35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3BAACE18" w14:textId="77777777" w:rsidR="00584469" w:rsidRDefault="00584469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22B14B08" w14:textId="77777777" w:rsidR="00584469" w:rsidRDefault="00584469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0698435B" w14:textId="77777777" w:rsidR="00584469" w:rsidRPr="003A3C1D" w:rsidRDefault="00584469" w:rsidP="00515DF2">
            <w:pPr>
              <w:ind w:left="72" w:right="72"/>
              <w:rPr>
                <w:bCs/>
                <w:color w:val="000000"/>
              </w:rPr>
            </w:pPr>
          </w:p>
        </w:tc>
      </w:tr>
    </w:tbl>
    <w:p w14:paraId="7306B515" w14:textId="77777777" w:rsidR="00955E35" w:rsidRDefault="00955E35" w:rsidP="009F575B">
      <w:pPr>
        <w:rPr>
          <w:color w:val="FF0000"/>
        </w:rPr>
      </w:pPr>
    </w:p>
    <w:p w14:paraId="635DD79E" w14:textId="77777777" w:rsidR="00955E35" w:rsidRDefault="00955E35" w:rsidP="009F575B">
      <w:pPr>
        <w:rPr>
          <w:color w:val="FF0000"/>
        </w:rPr>
      </w:pPr>
    </w:p>
    <w:p w14:paraId="2225C54E" w14:textId="77777777" w:rsidR="00C1025A" w:rsidRDefault="00C1025A" w:rsidP="009F575B">
      <w:pPr>
        <w:rPr>
          <w:color w:val="FF0000"/>
        </w:rPr>
      </w:pPr>
    </w:p>
    <w:tbl>
      <w:tblPr>
        <w:tblW w:w="4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1888"/>
        <w:gridCol w:w="1521"/>
        <w:gridCol w:w="2041"/>
      </w:tblGrid>
      <w:tr w:rsidR="00816DBC" w:rsidRPr="009A2B51" w14:paraId="3AC043B1" w14:textId="77777777" w:rsidTr="00816DBC">
        <w:trPr>
          <w:trHeight w:val="895"/>
        </w:trPr>
        <w:tc>
          <w:tcPr>
            <w:tcW w:w="1267" w:type="pct"/>
            <w:shd w:val="clear" w:color="auto" w:fill="D9D9D9"/>
          </w:tcPr>
          <w:p w14:paraId="1E0F134F" w14:textId="77777777" w:rsidR="00816DBC" w:rsidRPr="00D55D1F" w:rsidRDefault="00816DBC" w:rsidP="00E73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1F">
              <w:rPr>
                <w:b/>
                <w:bCs/>
                <w:color w:val="000000"/>
                <w:sz w:val="20"/>
                <w:szCs w:val="20"/>
              </w:rPr>
              <w:t>Pregled planiranih sredstava</w:t>
            </w:r>
          </w:p>
        </w:tc>
        <w:tc>
          <w:tcPr>
            <w:tcW w:w="1293" w:type="pct"/>
            <w:shd w:val="clear" w:color="auto" w:fill="D9D9D9"/>
          </w:tcPr>
          <w:p w14:paraId="43648C99" w14:textId="77777777" w:rsidR="00816DBC" w:rsidRPr="00D55D1F" w:rsidRDefault="00816DBC" w:rsidP="00E73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1F">
              <w:rPr>
                <w:b/>
                <w:bCs/>
                <w:color w:val="000000"/>
                <w:sz w:val="20"/>
                <w:szCs w:val="20"/>
              </w:rPr>
              <w:t>Proračun 202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2" w:type="pct"/>
            <w:shd w:val="clear" w:color="auto" w:fill="D9D9D9"/>
          </w:tcPr>
          <w:p w14:paraId="0372ADB1" w14:textId="77777777" w:rsidR="00816DBC" w:rsidRPr="00D55D1F" w:rsidRDefault="00816DBC" w:rsidP="00E73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Iznos promjene</w:t>
            </w:r>
          </w:p>
        </w:tc>
        <w:tc>
          <w:tcPr>
            <w:tcW w:w="1398" w:type="pct"/>
            <w:shd w:val="clear" w:color="auto" w:fill="D9D9D9"/>
          </w:tcPr>
          <w:p w14:paraId="617E0630" w14:textId="77777777" w:rsidR="00816DBC" w:rsidRPr="00D55D1F" w:rsidRDefault="00816DBC" w:rsidP="00E73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1F">
              <w:rPr>
                <w:b/>
                <w:bCs/>
                <w:color w:val="000000"/>
                <w:sz w:val="20"/>
                <w:szCs w:val="20"/>
              </w:rPr>
              <w:t>I. Rebalans 202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16DBC" w:rsidRPr="00955E35" w14:paraId="414F6577" w14:textId="77777777" w:rsidTr="00816DBC">
        <w:trPr>
          <w:trHeight w:hRule="exact" w:val="831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1B87C" w14:textId="77777777" w:rsidR="00816DBC" w:rsidRDefault="00816DBC" w:rsidP="00B41766">
            <w:pPr>
              <w:rPr>
                <w:bCs/>
                <w:color w:val="000000"/>
                <w:sz w:val="22"/>
                <w:szCs w:val="22"/>
              </w:rPr>
            </w:pPr>
            <w:r w:rsidRPr="00D55D1F">
              <w:rPr>
                <w:bCs/>
                <w:color w:val="000000"/>
                <w:sz w:val="22"/>
                <w:szCs w:val="22"/>
              </w:rPr>
              <w:t xml:space="preserve">Glava </w:t>
            </w:r>
          </w:p>
          <w:p w14:paraId="603F6F6C" w14:textId="77777777" w:rsidR="00816DBC" w:rsidRPr="00D55D1F" w:rsidRDefault="00816DBC" w:rsidP="00B41766">
            <w:pPr>
              <w:rPr>
                <w:bCs/>
                <w:color w:val="000000"/>
                <w:sz w:val="22"/>
                <w:szCs w:val="22"/>
              </w:rPr>
            </w:pPr>
            <w:r w:rsidRPr="00D55D1F">
              <w:rPr>
                <w:bCs/>
                <w:color w:val="000000"/>
                <w:sz w:val="22"/>
                <w:szCs w:val="22"/>
              </w:rPr>
              <w:t>(šifra i naziv)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25E2B" w14:textId="77777777" w:rsidR="00816DBC" w:rsidRPr="00D55D1F" w:rsidRDefault="00816DBC" w:rsidP="00B4176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392F3" w14:textId="77777777" w:rsidR="00816DBC" w:rsidRPr="00D55D1F" w:rsidRDefault="00816DBC" w:rsidP="00816D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973E2" w14:textId="77777777" w:rsidR="00816DBC" w:rsidRPr="00D55D1F" w:rsidRDefault="00816DBC" w:rsidP="00816D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816DBC" w:rsidRPr="00955E35" w14:paraId="2B600944" w14:textId="77777777" w:rsidTr="00816DBC">
        <w:trPr>
          <w:trHeight w:val="895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46132" w14:textId="77777777" w:rsidR="00816DBC" w:rsidRDefault="00816DBC" w:rsidP="00816DBC">
            <w:pPr>
              <w:rPr>
                <w:bCs/>
                <w:color w:val="000000"/>
                <w:sz w:val="22"/>
                <w:szCs w:val="22"/>
              </w:rPr>
            </w:pPr>
            <w:r w:rsidRPr="00D55D1F">
              <w:rPr>
                <w:bCs/>
                <w:color w:val="000000"/>
                <w:sz w:val="22"/>
                <w:szCs w:val="22"/>
              </w:rPr>
              <w:t xml:space="preserve">Glava </w:t>
            </w:r>
          </w:p>
          <w:p w14:paraId="43418245" w14:textId="77777777" w:rsidR="00816DBC" w:rsidRPr="00D55D1F" w:rsidRDefault="00816DBC" w:rsidP="00816DBC">
            <w:pPr>
              <w:rPr>
                <w:sz w:val="22"/>
                <w:szCs w:val="22"/>
              </w:rPr>
            </w:pPr>
            <w:r w:rsidRPr="00D55D1F">
              <w:rPr>
                <w:bCs/>
                <w:color w:val="000000"/>
                <w:sz w:val="22"/>
                <w:szCs w:val="22"/>
              </w:rPr>
              <w:t>(šifra i naziv)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F795E" w14:textId="77777777" w:rsidR="00816DBC" w:rsidRDefault="00816DBC" w:rsidP="00816DBC">
            <w:pPr>
              <w:jc w:val="right"/>
            </w:pPr>
            <w:r w:rsidRPr="006B6371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FDEFF" w14:textId="77777777" w:rsidR="00816DBC" w:rsidRDefault="00816DBC" w:rsidP="00816DBC">
            <w:pPr>
              <w:jc w:val="right"/>
            </w:pPr>
            <w:r w:rsidRPr="006B6371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A99EF" w14:textId="77777777" w:rsidR="00816DBC" w:rsidRPr="00D55D1F" w:rsidRDefault="00816DBC" w:rsidP="00816D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816DBC" w:rsidRPr="00955E35" w14:paraId="51C1FF63" w14:textId="77777777" w:rsidTr="00816DBC">
        <w:trPr>
          <w:trHeight w:val="895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504C53" w14:textId="77777777" w:rsidR="00816DBC" w:rsidRPr="00D55D1F" w:rsidRDefault="00816DBC" w:rsidP="00B417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5D1F">
              <w:rPr>
                <w:b/>
                <w:bCs/>
                <w:color w:val="000000"/>
                <w:sz w:val="22"/>
                <w:szCs w:val="22"/>
              </w:rPr>
              <w:t xml:space="preserve">UKUPNO RAZDJEL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CBEBC" w14:textId="77777777" w:rsidR="00816DBC" w:rsidRDefault="00816DBC" w:rsidP="00816DBC">
            <w:pPr>
              <w:jc w:val="right"/>
            </w:pPr>
            <w:r w:rsidRPr="001B7B40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DD6B5" w14:textId="77777777" w:rsidR="00816DBC" w:rsidRDefault="00816DBC" w:rsidP="00816DBC">
            <w:pPr>
              <w:jc w:val="right"/>
            </w:pPr>
            <w:r w:rsidRPr="001B7B40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2E899" w14:textId="77777777" w:rsidR="00816DBC" w:rsidRDefault="00816DBC" w:rsidP="00816DBC">
            <w:pPr>
              <w:jc w:val="right"/>
            </w:pPr>
            <w:r w:rsidRPr="001B7B40">
              <w:rPr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14:paraId="1A6F4F96" w14:textId="77777777" w:rsidR="00C1025A" w:rsidRDefault="00C1025A" w:rsidP="00816DBC">
      <w:pPr>
        <w:rPr>
          <w:color w:val="FF0000"/>
        </w:rPr>
      </w:pPr>
    </w:p>
    <w:p w14:paraId="3B4CE012" w14:textId="77777777" w:rsidR="00955E35" w:rsidRDefault="00955E35" w:rsidP="009F575B">
      <w:pPr>
        <w:rPr>
          <w:color w:val="FF0000"/>
        </w:rPr>
      </w:pPr>
    </w:p>
    <w:p w14:paraId="0F3CDD52" w14:textId="77777777" w:rsidR="00C1025A" w:rsidRDefault="00C1025A" w:rsidP="009F575B">
      <w:pPr>
        <w:rPr>
          <w:color w:val="FF0000"/>
        </w:rPr>
      </w:pPr>
    </w:p>
    <w:p w14:paraId="2D0350E8" w14:textId="77777777" w:rsidR="003A3C1D" w:rsidRDefault="003A3C1D" w:rsidP="009F575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122"/>
        <w:gridCol w:w="6843"/>
      </w:tblGrid>
      <w:tr w:rsidR="00955E35" w:rsidRPr="003A3C1D" w14:paraId="345F0B06" w14:textId="77777777" w:rsidTr="00515DF2">
        <w:tc>
          <w:tcPr>
            <w:tcW w:w="1101" w:type="dxa"/>
            <w:shd w:val="clear" w:color="auto" w:fill="D9D9D9"/>
          </w:tcPr>
          <w:p w14:paraId="73439E02" w14:textId="77777777" w:rsidR="00955E35" w:rsidRPr="003A3C1D" w:rsidRDefault="00955E35" w:rsidP="00955E35">
            <w:pPr>
              <w:rPr>
                <w:b/>
                <w:i/>
                <w:color w:val="000000"/>
                <w:sz w:val="28"/>
                <w:szCs w:val="28"/>
              </w:rPr>
            </w:pPr>
            <w:r w:rsidRPr="003A3C1D">
              <w:rPr>
                <w:b/>
                <w:i/>
                <w:color w:val="000000"/>
                <w:sz w:val="28"/>
                <w:szCs w:val="28"/>
              </w:rPr>
              <w:t>Glava:</w:t>
            </w:r>
          </w:p>
        </w:tc>
        <w:tc>
          <w:tcPr>
            <w:tcW w:w="1134" w:type="dxa"/>
          </w:tcPr>
          <w:p w14:paraId="0411A8BE" w14:textId="77777777" w:rsidR="00955E35" w:rsidRDefault="00C964D5" w:rsidP="00955E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Šifra</w:t>
            </w:r>
            <w:r w:rsidR="00955E35" w:rsidRPr="005E3C13">
              <w:rPr>
                <w:b/>
                <w:bCs/>
                <w:color w:val="000000"/>
                <w:sz w:val="26"/>
                <w:szCs w:val="26"/>
              </w:rPr>
              <w:t xml:space="preserve"> glave</w:t>
            </w:r>
          </w:p>
          <w:p w14:paraId="348337CC" w14:textId="77777777" w:rsidR="002A2893" w:rsidRPr="005E3C13" w:rsidRDefault="002A2893" w:rsidP="00955E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53" w:type="dxa"/>
          </w:tcPr>
          <w:p w14:paraId="29005E7C" w14:textId="77777777" w:rsidR="00955E35" w:rsidRDefault="00955E35" w:rsidP="00955E3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E3C13">
              <w:rPr>
                <w:b/>
                <w:bCs/>
                <w:color w:val="000000"/>
                <w:sz w:val="26"/>
                <w:szCs w:val="26"/>
              </w:rPr>
              <w:t>Naziv glave</w:t>
            </w:r>
          </w:p>
          <w:p w14:paraId="0E357891" w14:textId="77777777" w:rsidR="002A2893" w:rsidRPr="005E3C13" w:rsidRDefault="002A2893" w:rsidP="00955E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Ustanove u srednjem školstvu</w:t>
            </w:r>
          </w:p>
        </w:tc>
      </w:tr>
    </w:tbl>
    <w:p w14:paraId="3D36AF6F" w14:textId="77777777" w:rsidR="003A3C1D" w:rsidRDefault="003A3C1D" w:rsidP="009F575B">
      <w:pPr>
        <w:rPr>
          <w:color w:val="FF0000"/>
        </w:rPr>
      </w:pPr>
    </w:p>
    <w:p w14:paraId="75F50F63" w14:textId="77777777" w:rsidR="00EA1B54" w:rsidRDefault="00EA1B54" w:rsidP="009F575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1122"/>
        <w:gridCol w:w="6856"/>
      </w:tblGrid>
      <w:tr w:rsidR="005E3C13" w:rsidRPr="00EA1B54" w14:paraId="1DC4BB55" w14:textId="77777777" w:rsidTr="00EA1B54">
        <w:tc>
          <w:tcPr>
            <w:tcW w:w="1101" w:type="dxa"/>
            <w:shd w:val="clear" w:color="auto" w:fill="D9D9D9"/>
          </w:tcPr>
          <w:p w14:paraId="555C2F8A" w14:textId="77777777" w:rsidR="00EA1B54" w:rsidRPr="00EA1B54" w:rsidRDefault="00EA1B54" w:rsidP="00515DF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PK</w:t>
            </w:r>
            <w:r w:rsidRPr="00EA1B54">
              <w:rPr>
                <w:b/>
                <w:color w:val="000000"/>
              </w:rPr>
              <w:t>:</w:t>
            </w:r>
          </w:p>
        </w:tc>
        <w:tc>
          <w:tcPr>
            <w:tcW w:w="1134" w:type="dxa"/>
          </w:tcPr>
          <w:p w14:paraId="4C98B499" w14:textId="77777777" w:rsidR="00EA1B54" w:rsidRDefault="00EA1B54" w:rsidP="00515DF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RKP</w:t>
            </w:r>
            <w:r w:rsidR="00C964D5">
              <w:rPr>
                <w:b/>
                <w:bCs/>
                <w:color w:val="000000"/>
              </w:rPr>
              <w:t xml:space="preserve"> broj</w:t>
            </w:r>
          </w:p>
          <w:p w14:paraId="195527E7" w14:textId="77777777" w:rsidR="002A2893" w:rsidRPr="005E3C13" w:rsidRDefault="002A2893" w:rsidP="00515D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18602</w:t>
            </w:r>
          </w:p>
        </w:tc>
        <w:tc>
          <w:tcPr>
            <w:tcW w:w="7053" w:type="dxa"/>
          </w:tcPr>
          <w:p w14:paraId="72E885FB" w14:textId="77777777" w:rsidR="00EA1B54" w:rsidRDefault="00EA1B54" w:rsidP="00515DF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proračunskog korisnika</w:t>
            </w:r>
          </w:p>
          <w:p w14:paraId="5D68EFCF" w14:textId="77777777" w:rsidR="002A2893" w:rsidRPr="005E3C13" w:rsidRDefault="002A2893" w:rsidP="00515D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SŠ OBRTNA TEHNIČKA ŠKOLA</w:t>
            </w:r>
          </w:p>
        </w:tc>
      </w:tr>
    </w:tbl>
    <w:p w14:paraId="1F536B45" w14:textId="77777777" w:rsidR="00955E35" w:rsidRDefault="00955E35" w:rsidP="009F575B">
      <w:pPr>
        <w:rPr>
          <w:color w:val="FF0000"/>
        </w:rPr>
      </w:pPr>
    </w:p>
    <w:p w14:paraId="5E47032B" w14:textId="77777777" w:rsidR="00EA1B54" w:rsidRDefault="00EA1B54" w:rsidP="009F575B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7434"/>
      </w:tblGrid>
      <w:tr w:rsidR="00955E35" w:rsidRPr="003A3C1D" w14:paraId="684230CC" w14:textId="77777777" w:rsidTr="00584469">
        <w:trPr>
          <w:trHeight w:val="581"/>
        </w:trPr>
        <w:tc>
          <w:tcPr>
            <w:tcW w:w="898" w:type="pct"/>
            <w:shd w:val="clear" w:color="auto" w:fill="D9D9D9"/>
          </w:tcPr>
          <w:p w14:paraId="65515EF0" w14:textId="77777777" w:rsidR="00955E35" w:rsidRPr="003A3C1D" w:rsidRDefault="00955E35" w:rsidP="00515DF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Sažetak djelokruga </w:t>
            </w:r>
            <w:r w:rsidRPr="003A3C1D">
              <w:rPr>
                <w:b/>
                <w:bCs/>
                <w:color w:val="000000"/>
              </w:rPr>
              <w:lastRenderedPageBreak/>
              <w:t>rada:</w:t>
            </w:r>
          </w:p>
        </w:tc>
        <w:tc>
          <w:tcPr>
            <w:tcW w:w="4102" w:type="pct"/>
          </w:tcPr>
          <w:p w14:paraId="7DB4009D" w14:textId="77777777" w:rsidR="00955E35" w:rsidRDefault="002B2925" w:rsidP="00D55D1F">
            <w:pPr>
              <w:ind w:left="72" w:right="7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Odgoj i obrazovanje </w:t>
            </w:r>
            <w:r w:rsidR="000F2114">
              <w:rPr>
                <w:bCs/>
                <w:color w:val="000000"/>
              </w:rPr>
              <w:t>mladeži i odraslih za stjecanje srednje stručne spreme iz područja elektrotehnike,strojarstva i obrade drva</w:t>
            </w:r>
            <w:r w:rsidR="00971BDC">
              <w:rPr>
                <w:bCs/>
                <w:color w:val="000000"/>
              </w:rPr>
              <w:t>.</w:t>
            </w:r>
          </w:p>
          <w:p w14:paraId="7D8888A8" w14:textId="77777777" w:rsidR="00971BDC" w:rsidRPr="00657372" w:rsidRDefault="00971BDC" w:rsidP="00971BDC">
            <w:pPr>
              <w:spacing w:after="3" w:line="276" w:lineRule="auto"/>
              <w:ind w:left="16" w:right="2" w:hanging="10"/>
              <w:jc w:val="both"/>
              <w:rPr>
                <w:rFonts w:ascii="Verdana" w:hAnsi="Verdana" w:cs="Calibri"/>
                <w:color w:val="000000"/>
              </w:rPr>
            </w:pPr>
            <w:r w:rsidRPr="00657372">
              <w:rPr>
                <w:rFonts w:ascii="Verdana" w:hAnsi="Verdana" w:cs="Calibri"/>
                <w:color w:val="000000"/>
              </w:rPr>
              <w:lastRenderedPageBreak/>
              <w:t xml:space="preserve">Regionalni centar kompetentnosti (dalje: RCK) izgrađuje se kao mjesto izvrsnosti strukovnog obrazovanja u području elektrotehnike i računalstva za Splitsko-dalmatinsku županiju te poveznica između gospodarstvenih subjekata i obrazovnih ustanova radi uspostave suradnje i prilagodbe strukovnog obrazovanja sa zahtjevima tržišta rada i najnovijih tehnologija te modernih metoda rada. Pokrenut je kao potreba unapređenja strukovnog obrazovanja i ljudskih potencijala u Republici Hrvatskoj kroz obrazovanje odraslih i doprinos razvoju svih sudionika u djelatnostima sektora elektrotehnike i računalstva.   </w:t>
            </w:r>
          </w:p>
          <w:p w14:paraId="79EF9E85" w14:textId="77777777" w:rsidR="00971BDC" w:rsidRDefault="00971BDC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78A16081" w14:textId="77777777" w:rsidR="00FA0D9D" w:rsidRDefault="00FA0D9D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62002F5F" w14:textId="77777777" w:rsidR="00584469" w:rsidRDefault="00584469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3C2628C0" w14:textId="77777777" w:rsidR="00584469" w:rsidRDefault="00584469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1EF63467" w14:textId="77777777" w:rsidR="00FA0D9D" w:rsidRDefault="00FA0D9D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66452769" w14:textId="77777777" w:rsidR="00FA0D9D" w:rsidRPr="003A3C1D" w:rsidRDefault="00FA0D9D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0605D8BD" w14:textId="77777777" w:rsidR="00955E35" w:rsidRPr="003A3C1D" w:rsidRDefault="00955E35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29588C39" w14:textId="77777777" w:rsidR="00955E35" w:rsidRPr="003A3C1D" w:rsidRDefault="00955E35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45083E13" w14:textId="77777777" w:rsidR="00955E35" w:rsidRPr="003A3C1D" w:rsidRDefault="00955E35" w:rsidP="00515DF2">
            <w:pPr>
              <w:ind w:left="72" w:right="72"/>
              <w:rPr>
                <w:bCs/>
                <w:color w:val="000000"/>
              </w:rPr>
            </w:pPr>
          </w:p>
        </w:tc>
      </w:tr>
    </w:tbl>
    <w:p w14:paraId="4E56F067" w14:textId="77777777" w:rsidR="009A2B51" w:rsidRDefault="009A2B51" w:rsidP="009F575B">
      <w:pPr>
        <w:rPr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213"/>
        <w:gridCol w:w="812"/>
        <w:gridCol w:w="1506"/>
        <w:gridCol w:w="2351"/>
      </w:tblGrid>
      <w:tr w:rsidR="00FF2717" w:rsidRPr="005E3C13" w14:paraId="592810A3" w14:textId="77777777">
        <w:tc>
          <w:tcPr>
            <w:tcW w:w="1203" w:type="pct"/>
            <w:shd w:val="clear" w:color="auto" w:fill="D9D9D9"/>
          </w:tcPr>
          <w:p w14:paraId="785187A4" w14:textId="77777777" w:rsidR="00FF2717" w:rsidRPr="003A3C1D" w:rsidRDefault="00FF2717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1669" w:type="pct"/>
            <w:gridSpan w:val="2"/>
            <w:shd w:val="clear" w:color="auto" w:fill="auto"/>
          </w:tcPr>
          <w:p w14:paraId="6ACD91D1" w14:textId="77777777" w:rsidR="00FF2717" w:rsidRPr="005E3C13" w:rsidRDefault="00FF27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programa</w:t>
            </w:r>
          </w:p>
        </w:tc>
        <w:tc>
          <w:tcPr>
            <w:tcW w:w="2128" w:type="pct"/>
            <w:gridSpan w:val="2"/>
            <w:shd w:val="clear" w:color="auto" w:fill="auto"/>
          </w:tcPr>
          <w:p w14:paraId="6B5FE6D9" w14:textId="77777777" w:rsidR="00FF2717" w:rsidRPr="005E3C13" w:rsidRDefault="00FF2717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programa</w:t>
            </w:r>
          </w:p>
        </w:tc>
      </w:tr>
      <w:tr w:rsidR="00FF2717" w:rsidRPr="003A3C1D" w14:paraId="03FC0655" w14:textId="77777777">
        <w:tc>
          <w:tcPr>
            <w:tcW w:w="1203" w:type="pct"/>
            <w:shd w:val="clear" w:color="auto" w:fill="D9D9D9"/>
          </w:tcPr>
          <w:p w14:paraId="71131627" w14:textId="77777777" w:rsidR="00FF2717" w:rsidRPr="003A3C1D" w:rsidRDefault="00FF27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3797" w:type="pct"/>
            <w:gridSpan w:val="4"/>
            <w:shd w:val="clear" w:color="auto" w:fill="auto"/>
          </w:tcPr>
          <w:p w14:paraId="0445C750" w14:textId="77777777" w:rsidR="00FF2717" w:rsidRPr="003A3C1D" w:rsidRDefault="00FF2717">
            <w:pPr>
              <w:jc w:val="both"/>
              <w:rPr>
                <w:bCs/>
                <w:color w:val="000000"/>
              </w:rPr>
            </w:pPr>
          </w:p>
        </w:tc>
      </w:tr>
      <w:tr w:rsidR="00FF2717" w:rsidRPr="00AC2C3E" w14:paraId="43F5382E" w14:textId="77777777">
        <w:trPr>
          <w:trHeight w:val="218"/>
        </w:trPr>
        <w:tc>
          <w:tcPr>
            <w:tcW w:w="1203" w:type="pct"/>
            <w:shd w:val="clear" w:color="auto" w:fill="F2F2F2"/>
          </w:tcPr>
          <w:p w14:paraId="768B9C2E" w14:textId="77777777" w:rsidR="00FF2717" w:rsidRPr="00AC2C3E" w:rsidRDefault="00FF2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Proračun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21" w:type="pct"/>
            <w:shd w:val="clear" w:color="auto" w:fill="F2F2F2"/>
          </w:tcPr>
          <w:p w14:paraId="64F37E7B" w14:textId="77777777" w:rsidR="00FF2717" w:rsidRPr="00AC2C3E" w:rsidRDefault="00FF2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I. Rebalans 202</w:t>
            </w: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79" w:type="pct"/>
            <w:gridSpan w:val="2"/>
            <w:shd w:val="clear" w:color="auto" w:fill="F2F2F2"/>
          </w:tcPr>
          <w:p w14:paraId="6C481291" w14:textId="77777777" w:rsidR="00FF2717" w:rsidRPr="00AC2C3E" w:rsidRDefault="00FF2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Iznos promjene</w:t>
            </w:r>
          </w:p>
        </w:tc>
        <w:tc>
          <w:tcPr>
            <w:tcW w:w="1279" w:type="pct"/>
          </w:tcPr>
          <w:p w14:paraId="23FD355F" w14:textId="77777777" w:rsidR="00FF2717" w:rsidRPr="00AC2C3E" w:rsidRDefault="00FF2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I. Rebalans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F2717" w:rsidRPr="00B41766" w14:paraId="06A33240" w14:textId="77777777">
        <w:trPr>
          <w:trHeight w:val="218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1F2B" w14:textId="77777777" w:rsidR="00FF2717" w:rsidRPr="00B41766" w:rsidRDefault="0063116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4.366.182,61</w:t>
            </w:r>
            <w:r w:rsidR="00FF2717">
              <w:rPr>
                <w:bCs/>
                <w:color w:val="000000"/>
              </w:rPr>
              <w:t>€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8206" w14:textId="77777777" w:rsidR="00FF2717" w:rsidRPr="00B41766" w:rsidRDefault="005708B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4.366..182,61</w:t>
            </w:r>
            <w:r w:rsidR="00FF2717">
              <w:rPr>
                <w:bCs/>
                <w:color w:val="000000"/>
              </w:rPr>
              <w:t>€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EC02" w14:textId="77777777" w:rsidR="00FF2717" w:rsidRPr="00B41766" w:rsidRDefault="005708B9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489.225,95</w:t>
            </w:r>
            <w:r w:rsidR="00FF2717">
              <w:rPr>
                <w:bCs/>
                <w:color w:val="000000"/>
              </w:rPr>
              <w:t>€</w:t>
            </w:r>
          </w:p>
        </w:tc>
        <w:tc>
          <w:tcPr>
            <w:tcW w:w="1279" w:type="pct"/>
          </w:tcPr>
          <w:p w14:paraId="14A7DBAD" w14:textId="77777777" w:rsidR="00FF2717" w:rsidRPr="00B41766" w:rsidRDefault="005708B9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4.855.408,56</w:t>
            </w:r>
            <w:r w:rsidR="00FF2717">
              <w:rPr>
                <w:bCs/>
                <w:color w:val="000000"/>
              </w:rPr>
              <w:t>€</w:t>
            </w:r>
          </w:p>
        </w:tc>
      </w:tr>
    </w:tbl>
    <w:p w14:paraId="3DCB6FC8" w14:textId="77777777" w:rsidR="00955E35" w:rsidRDefault="00955E35" w:rsidP="009F575B">
      <w:pPr>
        <w:rPr>
          <w:b/>
          <w:bCs/>
          <w:color w:val="FF0000"/>
        </w:rPr>
      </w:pPr>
    </w:p>
    <w:p w14:paraId="408C1DC7" w14:textId="77777777" w:rsidR="00C964D5" w:rsidRDefault="00C964D5" w:rsidP="009F575B">
      <w:pPr>
        <w:rPr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403"/>
        <w:gridCol w:w="1241"/>
        <w:gridCol w:w="1682"/>
        <w:gridCol w:w="1455"/>
        <w:gridCol w:w="1671"/>
      </w:tblGrid>
      <w:tr w:rsidR="00B41766" w:rsidRPr="00466EA6" w14:paraId="4832DEBE" w14:textId="77777777" w:rsidTr="00B41766">
        <w:trPr>
          <w:trHeight w:val="651"/>
        </w:trPr>
        <w:tc>
          <w:tcPr>
            <w:tcW w:w="888" w:type="pct"/>
            <w:shd w:val="clear" w:color="auto" w:fill="D9D9D9"/>
          </w:tcPr>
          <w:p w14:paraId="5A5F3821" w14:textId="77777777" w:rsidR="00B41766" w:rsidRPr="00AD6019" w:rsidRDefault="00631164" w:rsidP="00E73F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41766" w:rsidRPr="00AD6019">
              <w:rPr>
                <w:b/>
                <w:sz w:val="20"/>
                <w:szCs w:val="20"/>
              </w:rPr>
              <w:t xml:space="preserve">Pokazatelj </w:t>
            </w:r>
            <w:r w:rsidR="00B41766"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774" w:type="pct"/>
            <w:shd w:val="clear" w:color="auto" w:fill="D9D9D9"/>
          </w:tcPr>
          <w:p w14:paraId="11F925DA" w14:textId="77777777" w:rsidR="00B41766" w:rsidRPr="00AD6019" w:rsidRDefault="00B41766" w:rsidP="00E73FE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685" w:type="pct"/>
            <w:shd w:val="clear" w:color="auto" w:fill="D9D9D9"/>
          </w:tcPr>
          <w:p w14:paraId="1E2DEA33" w14:textId="77777777" w:rsidR="00B41766" w:rsidRPr="00AD6019" w:rsidRDefault="00B41766" w:rsidP="00E73FE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928" w:type="pct"/>
            <w:shd w:val="clear" w:color="auto" w:fill="D9D9D9"/>
          </w:tcPr>
          <w:p w14:paraId="627E5D60" w14:textId="77777777" w:rsidR="00B41766" w:rsidRPr="00AD6019" w:rsidRDefault="00B41766" w:rsidP="00E73FE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816DBC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03" w:type="pct"/>
            <w:shd w:val="clear" w:color="auto" w:fill="D9D9D9"/>
          </w:tcPr>
          <w:p w14:paraId="24D10438" w14:textId="77777777" w:rsidR="00B41766" w:rsidRPr="00AD6019" w:rsidRDefault="00B41766" w:rsidP="00E73F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922" w:type="pct"/>
            <w:shd w:val="clear" w:color="auto" w:fill="D9D9D9"/>
          </w:tcPr>
          <w:p w14:paraId="019B91BE" w14:textId="77777777" w:rsidR="00B41766" w:rsidRPr="00AD6019" w:rsidRDefault="00B41766" w:rsidP="00E73FE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816DBC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B41766" w14:paraId="05EE1A6A" w14:textId="77777777" w:rsidTr="00B41766">
        <w:trPr>
          <w:trHeight w:val="219"/>
        </w:trPr>
        <w:tc>
          <w:tcPr>
            <w:tcW w:w="888" w:type="pct"/>
            <w:shd w:val="clear" w:color="auto" w:fill="auto"/>
          </w:tcPr>
          <w:p w14:paraId="62980C1E" w14:textId="77777777" w:rsidR="00B41766" w:rsidRPr="00D55D1F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14:paraId="7E15D22E" w14:textId="77777777" w:rsidR="00B41766" w:rsidRPr="00D55D1F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</w:tcPr>
          <w:p w14:paraId="262D3582" w14:textId="77777777" w:rsidR="00B41766" w:rsidRPr="00D55D1F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auto"/>
          </w:tcPr>
          <w:p w14:paraId="2F6A8D60" w14:textId="77777777" w:rsidR="00B41766" w:rsidRPr="00D55D1F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14:paraId="25BE6ADA" w14:textId="77777777" w:rsidR="00B41766" w:rsidRPr="00D55D1F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</w:tcPr>
          <w:p w14:paraId="1515F1E8" w14:textId="77777777" w:rsidR="00B41766" w:rsidRPr="00D55D1F" w:rsidRDefault="00B41766" w:rsidP="00E73FE4">
            <w:pPr>
              <w:rPr>
                <w:sz w:val="22"/>
                <w:szCs w:val="22"/>
              </w:rPr>
            </w:pPr>
          </w:p>
        </w:tc>
      </w:tr>
      <w:tr w:rsidR="00B41766" w14:paraId="79A0A618" w14:textId="77777777" w:rsidTr="00B41766">
        <w:trPr>
          <w:trHeight w:val="219"/>
        </w:trPr>
        <w:tc>
          <w:tcPr>
            <w:tcW w:w="888" w:type="pct"/>
            <w:shd w:val="clear" w:color="auto" w:fill="auto"/>
          </w:tcPr>
          <w:p w14:paraId="1A7812C7" w14:textId="77777777" w:rsidR="00B41766" w:rsidRPr="00D55D1F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14:paraId="0B750D99" w14:textId="77777777" w:rsidR="00B41766" w:rsidRPr="00D55D1F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</w:tcPr>
          <w:p w14:paraId="24976DFE" w14:textId="77777777" w:rsidR="00B41766" w:rsidRPr="00D55D1F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auto"/>
          </w:tcPr>
          <w:p w14:paraId="606360B8" w14:textId="77777777" w:rsidR="00B41766" w:rsidRPr="00D55D1F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14:paraId="5F825C91" w14:textId="77777777" w:rsidR="00B41766" w:rsidRPr="00D55D1F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</w:tcPr>
          <w:p w14:paraId="27260BD5" w14:textId="77777777" w:rsidR="00B41766" w:rsidRPr="00D55D1F" w:rsidRDefault="00B41766" w:rsidP="00E73FE4">
            <w:pPr>
              <w:rPr>
                <w:sz w:val="22"/>
                <w:szCs w:val="22"/>
              </w:rPr>
            </w:pPr>
          </w:p>
        </w:tc>
      </w:tr>
      <w:tr w:rsidR="00B41766" w14:paraId="14566CCE" w14:textId="77777777" w:rsidTr="00B41766">
        <w:trPr>
          <w:trHeight w:val="219"/>
        </w:trPr>
        <w:tc>
          <w:tcPr>
            <w:tcW w:w="888" w:type="pct"/>
            <w:shd w:val="clear" w:color="auto" w:fill="auto"/>
          </w:tcPr>
          <w:p w14:paraId="2310DE02" w14:textId="77777777" w:rsidR="00B41766" w:rsidRPr="00D55D1F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14:paraId="5921ACCB" w14:textId="77777777" w:rsidR="00B41766" w:rsidRPr="00D55D1F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</w:tcPr>
          <w:p w14:paraId="7BEEDF2E" w14:textId="77777777" w:rsidR="00B41766" w:rsidRPr="00D55D1F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auto"/>
          </w:tcPr>
          <w:p w14:paraId="15F4D615" w14:textId="77777777" w:rsidR="00B41766" w:rsidRPr="00D55D1F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14:paraId="6CC5AC88" w14:textId="77777777" w:rsidR="00B41766" w:rsidRPr="00D55D1F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</w:tcPr>
          <w:p w14:paraId="7678D37E" w14:textId="77777777" w:rsidR="00B41766" w:rsidRPr="00D55D1F" w:rsidRDefault="00B41766" w:rsidP="00E73FE4">
            <w:pPr>
              <w:rPr>
                <w:sz w:val="22"/>
                <w:szCs w:val="22"/>
              </w:rPr>
            </w:pPr>
          </w:p>
        </w:tc>
      </w:tr>
    </w:tbl>
    <w:p w14:paraId="5298E131" w14:textId="77777777" w:rsidR="00D55D1F" w:rsidRDefault="00D55D1F" w:rsidP="009F575B">
      <w:pPr>
        <w:rPr>
          <w:color w:val="FF0000"/>
        </w:rPr>
      </w:pPr>
    </w:p>
    <w:p w14:paraId="4E040425" w14:textId="77777777" w:rsidR="00D55D1F" w:rsidRDefault="00D55D1F" w:rsidP="009F575B">
      <w:pPr>
        <w:rPr>
          <w:color w:val="FF0000"/>
        </w:rPr>
      </w:pPr>
    </w:p>
    <w:p w14:paraId="0B1FD623" w14:textId="77777777" w:rsidR="009F575B" w:rsidRPr="00640FFF" w:rsidRDefault="009F575B" w:rsidP="009F575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87"/>
        <w:gridCol w:w="1463"/>
        <w:gridCol w:w="661"/>
        <w:gridCol w:w="824"/>
        <w:gridCol w:w="1475"/>
        <w:gridCol w:w="2380"/>
      </w:tblGrid>
      <w:tr w:rsidR="00156DB2" w:rsidRPr="003A3C1D" w14:paraId="317BB5D9" w14:textId="77777777" w:rsidTr="00FF2717">
        <w:trPr>
          <w:trHeight w:val="517"/>
        </w:trPr>
        <w:tc>
          <w:tcPr>
            <w:tcW w:w="2331" w:type="dxa"/>
            <w:gridSpan w:val="2"/>
            <w:shd w:val="clear" w:color="auto" w:fill="D9D9D9"/>
          </w:tcPr>
          <w:p w14:paraId="5F66B642" w14:textId="77777777" w:rsidR="00321802" w:rsidRPr="003A3C1D" w:rsidRDefault="00321802" w:rsidP="0032180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14:paraId="026AEF00" w14:textId="77777777" w:rsidR="00891793" w:rsidRDefault="00C964D5" w:rsidP="003218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="00321802" w:rsidRPr="005E3C13">
              <w:rPr>
                <w:b/>
                <w:bCs/>
                <w:color w:val="000000"/>
              </w:rPr>
              <w:t xml:space="preserve"> </w:t>
            </w:r>
            <w:r w:rsidR="006B14A2" w:rsidRPr="005E3C13">
              <w:rPr>
                <w:b/>
                <w:bCs/>
                <w:color w:val="000000"/>
              </w:rPr>
              <w:t>aktivnosti</w:t>
            </w:r>
            <w:r w:rsidR="007A35F8" w:rsidRPr="005E3C13">
              <w:rPr>
                <w:b/>
                <w:bCs/>
                <w:color w:val="000000"/>
              </w:rPr>
              <w:t>/</w:t>
            </w:r>
          </w:p>
          <w:p w14:paraId="5B5F917D" w14:textId="77777777" w:rsidR="00321802" w:rsidRDefault="00391099" w:rsidP="0032180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</w:t>
            </w:r>
            <w:r w:rsidR="007A35F8" w:rsidRPr="005E3C13">
              <w:rPr>
                <w:b/>
                <w:bCs/>
                <w:color w:val="000000"/>
              </w:rPr>
              <w:t>rojekta</w:t>
            </w:r>
          </w:p>
          <w:p w14:paraId="7C5D54FB" w14:textId="77777777" w:rsidR="00391099" w:rsidRPr="005E3C13" w:rsidRDefault="00391099" w:rsidP="003218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4001</w:t>
            </w:r>
          </w:p>
        </w:tc>
        <w:tc>
          <w:tcPr>
            <w:tcW w:w="5494" w:type="dxa"/>
            <w:gridSpan w:val="4"/>
            <w:shd w:val="clear" w:color="auto" w:fill="auto"/>
          </w:tcPr>
          <w:p w14:paraId="23921998" w14:textId="77777777" w:rsidR="00321802" w:rsidRDefault="00321802" w:rsidP="0032180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 xml:space="preserve">Naziv </w:t>
            </w:r>
            <w:r w:rsidR="007A35F8" w:rsidRPr="005E3C13">
              <w:rPr>
                <w:b/>
                <w:bCs/>
                <w:color w:val="000000"/>
              </w:rPr>
              <w:t>aktivnosti/projekta</w:t>
            </w:r>
          </w:p>
          <w:p w14:paraId="36ECB22A" w14:textId="77777777" w:rsidR="00C964D5" w:rsidRPr="005E3C13" w:rsidRDefault="00391099" w:rsidP="003218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Razvoj odgojno obrazovnog sustava</w:t>
            </w:r>
          </w:p>
        </w:tc>
      </w:tr>
      <w:tr w:rsidR="00C964D5" w:rsidRPr="003A3C1D" w14:paraId="5F2A8E92" w14:textId="77777777" w:rsidTr="00FF2717">
        <w:trPr>
          <w:trHeight w:val="517"/>
        </w:trPr>
        <w:tc>
          <w:tcPr>
            <w:tcW w:w="2331" w:type="dxa"/>
            <w:gridSpan w:val="2"/>
            <w:shd w:val="clear" w:color="auto" w:fill="D9D9D9"/>
          </w:tcPr>
          <w:p w14:paraId="71FC0F55" w14:textId="77777777" w:rsidR="00C964D5" w:rsidRPr="00AC2C3E" w:rsidRDefault="00C964D5" w:rsidP="00C964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5"/>
            <w:shd w:val="clear" w:color="auto" w:fill="auto"/>
          </w:tcPr>
          <w:p w14:paraId="6DE53759" w14:textId="77777777" w:rsidR="00406C35" w:rsidRPr="00413867" w:rsidRDefault="00406C35" w:rsidP="00406C35">
            <w:pPr>
              <w:spacing w:after="14" w:line="276" w:lineRule="auto"/>
              <w:ind w:left="16"/>
              <w:rPr>
                <w:rFonts w:ascii="Verdana" w:hAnsi="Verdana" w:cs="Calibri"/>
                <w:lang w:val="pt-BR"/>
              </w:rPr>
            </w:pPr>
            <w:r w:rsidRPr="00413867">
              <w:rPr>
                <w:rFonts w:ascii="Verdana" w:hAnsi="Verdana" w:cs="Calibri"/>
                <w:lang w:val="pt-BR"/>
              </w:rPr>
              <w:t xml:space="preserve">Obrtna tehnička škola je imenovana Regionalnim centrom kompetentnosti na osnovu odluke Ministarstva znanosti i obrazovanja dana 20. srpnja 2018. godine (Klasa:602-03/18-03/00117 Ur.br. </w:t>
            </w:r>
          </w:p>
          <w:p w14:paraId="0D893AC2" w14:textId="77777777" w:rsidR="00406C35" w:rsidRPr="00413867" w:rsidRDefault="00406C35" w:rsidP="00406C35">
            <w:pPr>
              <w:spacing w:after="14" w:line="276" w:lineRule="auto"/>
              <w:ind w:left="16"/>
              <w:rPr>
                <w:rFonts w:ascii="Verdana" w:hAnsi="Verdana" w:cs="Calibri"/>
                <w:lang w:val="pt-BR"/>
              </w:rPr>
            </w:pPr>
            <w:r w:rsidRPr="00413867">
              <w:rPr>
                <w:rFonts w:ascii="Verdana" w:hAnsi="Verdana" w:cs="Calibri"/>
                <w:lang w:val="pt-BR"/>
              </w:rPr>
              <w:t xml:space="preserve">533-05-18-0047). </w:t>
            </w:r>
          </w:p>
          <w:p w14:paraId="649FEDD4" w14:textId="77777777" w:rsidR="00406C35" w:rsidRPr="00413867" w:rsidRDefault="00406C35" w:rsidP="00406C35">
            <w:pPr>
              <w:spacing w:after="14" w:line="276" w:lineRule="auto"/>
              <w:ind w:left="16"/>
              <w:rPr>
                <w:rFonts w:ascii="Verdana" w:hAnsi="Verdana" w:cs="Calibri"/>
                <w:color w:val="000000"/>
                <w:lang w:val="pt-BR"/>
              </w:rPr>
            </w:pPr>
            <w:r w:rsidRPr="00413867">
              <w:rPr>
                <w:rFonts w:ascii="Verdana" w:hAnsi="Verdana" w:cs="Calibri"/>
                <w:lang w:val="pt-BR"/>
              </w:rPr>
              <w:t xml:space="preserve">U sklopu toga ovjeren je Ugovor o dodjeli bespovratnih sredstava za projekte koji se financiraju iz Europskog </w:t>
            </w:r>
            <w:r w:rsidRPr="00413867">
              <w:rPr>
                <w:rFonts w:ascii="Verdana" w:hAnsi="Verdana" w:cs="Calibri"/>
                <w:lang w:val="pt-BR"/>
              </w:rPr>
              <w:lastRenderedPageBreak/>
              <w:t xml:space="preserve">socijalnog fonda u financijskom razdoblju 2014.-2020.« - zavedenim pod brojem </w:t>
            </w:r>
            <w:r w:rsidRPr="00413867">
              <w:rPr>
                <w:rFonts w:ascii="Verdana" w:hAnsi="Verdana" w:cs="Calibri"/>
                <w:b/>
                <w:lang w:val="pt-BR"/>
              </w:rPr>
              <w:t>UP.03.3.1.04.0017</w:t>
            </w:r>
            <w:r w:rsidRPr="00413867">
              <w:rPr>
                <w:rFonts w:ascii="Verdana" w:hAnsi="Verdana" w:cs="Calibri"/>
                <w:b/>
                <w:color w:val="000000"/>
                <w:lang w:val="pt-BR"/>
              </w:rPr>
              <w:t>»Uspostava regionalnog centra kompetentnosti za elektrotehniku i računalstvo Splitsko-dalmatinske županije«</w:t>
            </w:r>
            <w:r w:rsidRPr="00413867">
              <w:rPr>
                <w:rFonts w:ascii="Verdana" w:hAnsi="Verdana" w:cs="Calibri"/>
                <w:color w:val="000000"/>
                <w:lang w:val="pt-BR"/>
              </w:rPr>
              <w:t xml:space="preserve"> i to dana 03. srpnja 2020. godine </w:t>
            </w:r>
          </w:p>
          <w:p w14:paraId="6673D78C" w14:textId="77777777" w:rsidR="00406C35" w:rsidRPr="00A01118" w:rsidRDefault="00406C35" w:rsidP="00406C35">
            <w:pPr>
              <w:rPr>
                <w:rFonts w:eastAsia="Symbol"/>
                <w:i/>
                <w:color w:val="FF0000"/>
                <w:lang w:val="pt-BR"/>
              </w:rPr>
            </w:pPr>
          </w:p>
          <w:p w14:paraId="05210788" w14:textId="77777777" w:rsidR="00C964D5" w:rsidRPr="00406C35" w:rsidRDefault="00C964D5" w:rsidP="00C964D5">
            <w:pPr>
              <w:rPr>
                <w:rFonts w:eastAsia="Symbol"/>
                <w:color w:val="000000"/>
                <w:lang w:val="pt-BR"/>
              </w:rPr>
            </w:pPr>
          </w:p>
        </w:tc>
      </w:tr>
      <w:tr w:rsidR="00321802" w:rsidRPr="003A3C1D" w14:paraId="4DF5356C" w14:textId="77777777" w:rsidTr="00FF2717">
        <w:trPr>
          <w:trHeight w:val="257"/>
        </w:trPr>
        <w:tc>
          <w:tcPr>
            <w:tcW w:w="2331" w:type="dxa"/>
            <w:gridSpan w:val="2"/>
            <w:shd w:val="clear" w:color="auto" w:fill="D9D9D9"/>
          </w:tcPr>
          <w:p w14:paraId="7EAC70A5" w14:textId="77777777" w:rsidR="00321802" w:rsidRPr="00AC2C3E" w:rsidRDefault="00321802" w:rsidP="00321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Opis aktivnosti / projekta </w:t>
            </w:r>
          </w:p>
        </w:tc>
        <w:tc>
          <w:tcPr>
            <w:tcW w:w="6957" w:type="dxa"/>
            <w:gridSpan w:val="5"/>
            <w:shd w:val="clear" w:color="auto" w:fill="auto"/>
          </w:tcPr>
          <w:p w14:paraId="386A6294" w14:textId="77777777" w:rsidR="009348C7" w:rsidRPr="004C5AC8" w:rsidRDefault="00391099" w:rsidP="009348C7">
            <w:pPr>
              <w:spacing w:after="3" w:line="276" w:lineRule="auto"/>
              <w:ind w:left="16" w:right="2" w:hanging="10"/>
              <w:jc w:val="both"/>
              <w:rPr>
                <w:rFonts w:ascii="Verdana" w:hAnsi="Verdana" w:cs="Calibri"/>
                <w:color w:val="000000"/>
              </w:rPr>
            </w:pPr>
            <w:r w:rsidRPr="004C5AC8">
              <w:rPr>
                <w:rFonts w:ascii="Verdana" w:hAnsi="Verdana" w:cs="Calibri"/>
                <w:color w:val="000000"/>
              </w:rPr>
              <w:t>U sklopu aktivnosti RCK razvijati će se postojeći redovni programi u sektoru elektrotehnike i računalstva kroz suradnju sa ostalim strukovnim srednjim školama, visokim učilištima i poslodavcima i</w:t>
            </w:r>
            <w:r w:rsidR="009348C7" w:rsidRPr="004C5AC8">
              <w:rPr>
                <w:rFonts w:ascii="Verdana" w:hAnsi="Verdana" w:cs="Calibri"/>
                <w:color w:val="000000"/>
              </w:rPr>
              <w:t xml:space="preserve"> obrtnicima iz navedenog sektora, uz podizanje kompetencija učenika za poduzetništvo i razvijanje vještina za uključivanje u tržište rada, potpomognuti uključivanjem gospodarstvenika u obrazovanje kako bi učenici stekli što aktualnije obrazovanje. U sklopu projekta dobivena je suglasnost Ministarstva obrazovanja i znanosti za izradu Standarda zanimanja, Standarda kvalifikacija i kurikuluma za zanimanje „Tehničar za električne strojeve s primijenjenim računalstvom“ te je prijavljena i izrada Standarda zanimanja, Standarda kvalifikacija i kurikuluma za pomoćno zanimanje u području računalstva („računalni operater“). </w:t>
            </w:r>
          </w:p>
          <w:p w14:paraId="64548C53" w14:textId="77777777" w:rsidR="009348C7" w:rsidRPr="004C5AC8" w:rsidRDefault="009348C7" w:rsidP="009348C7">
            <w:pPr>
              <w:spacing w:line="276" w:lineRule="auto"/>
              <w:rPr>
                <w:rFonts w:ascii="Verdana" w:hAnsi="Verdana" w:cs="Calibri"/>
                <w:color w:val="000000"/>
              </w:rPr>
            </w:pPr>
            <w:r w:rsidRPr="004C5AC8">
              <w:rPr>
                <w:rFonts w:ascii="Verdana" w:hAnsi="Verdana" w:cs="Calibri"/>
                <w:color w:val="000000"/>
              </w:rPr>
              <w:t xml:space="preserve"> </w:t>
            </w:r>
          </w:p>
          <w:p w14:paraId="1A982DB6" w14:textId="77777777" w:rsidR="009348C7" w:rsidRPr="004C5AC8" w:rsidRDefault="009348C7" w:rsidP="009348C7">
            <w:pPr>
              <w:spacing w:after="3" w:line="276" w:lineRule="auto"/>
              <w:ind w:left="16" w:right="2" w:hanging="10"/>
              <w:jc w:val="both"/>
              <w:rPr>
                <w:rFonts w:ascii="Verdana" w:hAnsi="Verdana" w:cs="Calibri"/>
                <w:color w:val="000000"/>
              </w:rPr>
            </w:pPr>
            <w:r w:rsidRPr="004C5AC8">
              <w:rPr>
                <w:rFonts w:ascii="Verdana" w:hAnsi="Verdana" w:cs="Calibri"/>
                <w:color w:val="000000"/>
              </w:rPr>
              <w:t xml:space="preserve">Osim toga u RCK se razvija i modernizira obrazovanje odraslih te uspostavlja podrška svim bivšim učenicima Obrtno tehničke škole koji su postali obrtnici u cilju stalnog napredovanja u struci i stjecanja novih znanja i korištenja modernih alata u struci. </w:t>
            </w:r>
          </w:p>
          <w:p w14:paraId="5B1E65A0" w14:textId="77777777" w:rsidR="009348C7" w:rsidRPr="004C5AC8" w:rsidRDefault="009348C7" w:rsidP="009348C7">
            <w:pPr>
              <w:spacing w:line="276" w:lineRule="auto"/>
              <w:rPr>
                <w:rFonts w:ascii="Verdana" w:hAnsi="Verdana" w:cs="Calibri"/>
                <w:color w:val="000000"/>
              </w:rPr>
            </w:pPr>
            <w:r w:rsidRPr="004C5AC8">
              <w:rPr>
                <w:rFonts w:ascii="Verdana" w:hAnsi="Verdana" w:cs="Calibri"/>
                <w:color w:val="000000"/>
              </w:rPr>
              <w:t xml:space="preserve"> </w:t>
            </w:r>
          </w:p>
          <w:p w14:paraId="382D820B" w14:textId="77777777" w:rsidR="009348C7" w:rsidRPr="004C5AC8" w:rsidRDefault="009348C7" w:rsidP="009348C7">
            <w:pPr>
              <w:spacing w:after="3" w:line="276" w:lineRule="auto"/>
              <w:ind w:left="16" w:right="2" w:hanging="10"/>
              <w:jc w:val="both"/>
              <w:rPr>
                <w:rFonts w:ascii="Verdana" w:hAnsi="Verdana" w:cs="Calibri"/>
                <w:color w:val="000000"/>
              </w:rPr>
            </w:pPr>
            <w:r w:rsidRPr="004C5AC8">
              <w:rPr>
                <w:rFonts w:ascii="Verdana" w:hAnsi="Verdana" w:cs="Calibri"/>
                <w:color w:val="000000"/>
              </w:rPr>
              <w:t>Razvojem i usvajanjem novih znanja i tehnologija RCK će, uz podršku partnera, nuditi podršku svim obrtnicima i poslodavcima u sektoru elektrotehnike i računalstva za razvoj njihovih djelatnosti i metoda rada kao i za edukaciju i usavršavanje njihovih djelatnika. Djelokrug aktivnosti RCK je najviše u Splitsko</w:t>
            </w:r>
            <w:r>
              <w:rPr>
                <w:rFonts w:ascii="Verdana" w:hAnsi="Verdana" w:cs="Calibri"/>
                <w:color w:val="000000"/>
              </w:rPr>
              <w:t xml:space="preserve"> - </w:t>
            </w:r>
            <w:r w:rsidRPr="004C5AC8">
              <w:rPr>
                <w:rFonts w:ascii="Verdana" w:hAnsi="Verdana" w:cs="Calibri"/>
                <w:color w:val="000000"/>
              </w:rPr>
              <w:t xml:space="preserve">dalmatinskoj, Šibensko-kninskoj i Dubrovačko-neretvanskoj županiji, preko svojih partnera, odgojno obrazovnih ustanova s tog područja </w:t>
            </w:r>
            <w:r w:rsidRPr="004C5AC8">
              <w:rPr>
                <w:rFonts w:ascii="Verdana" w:hAnsi="Verdana" w:cs="Calibri"/>
                <w:color w:val="000000"/>
              </w:rPr>
              <w:lastRenderedPageBreak/>
              <w:t xml:space="preserve">i gospodarskih subjekata tih županija. U suradnji sa gospodarskim subjektima navedenih županija ali i kroz suradnju sa gospodarskim i obrazovnim subjektima iz europske unije, uključiti će se u promociju novih i ekološki prihvatljivih tehnologija, promociju modernih alata i uređaja kao i metoda rada. </w:t>
            </w:r>
          </w:p>
          <w:p w14:paraId="44E2AE72" w14:textId="77777777" w:rsidR="009348C7" w:rsidRPr="004C5AC8" w:rsidRDefault="009348C7" w:rsidP="009348C7">
            <w:pPr>
              <w:spacing w:line="276" w:lineRule="auto"/>
              <w:rPr>
                <w:rFonts w:ascii="Verdana" w:hAnsi="Verdana" w:cs="Calibri"/>
              </w:rPr>
            </w:pPr>
          </w:p>
          <w:p w14:paraId="474B2C12" w14:textId="77777777" w:rsidR="009348C7" w:rsidRPr="009348C7" w:rsidRDefault="009348C7" w:rsidP="009348C7">
            <w:pPr>
              <w:spacing w:after="3" w:line="276" w:lineRule="auto"/>
              <w:ind w:left="16" w:right="2" w:hanging="10"/>
              <w:jc w:val="both"/>
              <w:rPr>
                <w:rFonts w:ascii="Verdana" w:hAnsi="Verdana" w:cs="Calibri"/>
                <w:color w:val="000000"/>
              </w:rPr>
            </w:pPr>
            <w:r w:rsidRPr="004C5AC8">
              <w:rPr>
                <w:rFonts w:ascii="Verdana" w:hAnsi="Verdana" w:cs="Calibri"/>
                <w:color w:val="000000"/>
              </w:rPr>
              <w:t>Projekt „Uspostava regionalnog centra kompetentnosti za elektrotehniku i računalstvo Splitsko</w:t>
            </w:r>
            <w:r>
              <w:rPr>
                <w:rFonts w:ascii="Verdana" w:hAnsi="Verdana" w:cs="Calibri"/>
                <w:color w:val="000000"/>
              </w:rPr>
              <w:t xml:space="preserve"> - </w:t>
            </w:r>
            <w:r w:rsidRPr="004C5AC8">
              <w:rPr>
                <w:rFonts w:ascii="Verdana" w:hAnsi="Verdana" w:cs="Calibri"/>
                <w:color w:val="000000"/>
              </w:rPr>
              <w:t xml:space="preserve">dalmatinske županije“ traje 48 mjeseci, do 29. prosinca 2023. </w:t>
            </w:r>
            <w:r w:rsidRPr="009348C7">
              <w:rPr>
                <w:rFonts w:ascii="Verdana" w:hAnsi="Verdana" w:cs="Calibri"/>
                <w:color w:val="000000"/>
              </w:rPr>
              <w:t>Sve projektne aktivnosti su provedene I provode se sukladno projektnom planu odvijanja aktivnosti:</w:t>
            </w:r>
          </w:p>
          <w:p w14:paraId="29E69485" w14:textId="77777777" w:rsidR="009348C7" w:rsidRPr="007660E4" w:rsidRDefault="009348C7" w:rsidP="009348C7">
            <w:pPr>
              <w:spacing w:after="92" w:line="276" w:lineRule="auto"/>
              <w:rPr>
                <w:rFonts w:ascii="Verdana" w:hAnsi="Verdana" w:cs="Calibri"/>
                <w:color w:val="FF0000"/>
              </w:rPr>
            </w:pPr>
            <w:r w:rsidRPr="007660E4">
              <w:rPr>
                <w:rFonts w:ascii="Verdana" w:hAnsi="Verdana" w:cs="Calibri"/>
                <w:color w:val="FF0000"/>
              </w:rPr>
              <w:t xml:space="preserve"> </w:t>
            </w:r>
          </w:p>
          <w:p w14:paraId="0DDC6DF6" w14:textId="77777777" w:rsidR="009348C7" w:rsidRDefault="009348C7" w:rsidP="009348C7">
            <w:pPr>
              <w:numPr>
                <w:ilvl w:val="0"/>
                <w:numId w:val="10"/>
              </w:numPr>
              <w:spacing w:after="230" w:line="276" w:lineRule="auto"/>
              <w:ind w:hanging="361"/>
              <w:jc w:val="both"/>
              <w:rPr>
                <w:rFonts w:ascii="Verdana" w:hAnsi="Verdana" w:cs="Calibri"/>
                <w:color w:val="000000"/>
              </w:rPr>
            </w:pPr>
            <w:r w:rsidRPr="009348C7">
              <w:rPr>
                <w:rFonts w:ascii="Verdana" w:hAnsi="Verdana" w:cs="Calibri"/>
                <w:color w:val="000000"/>
              </w:rPr>
              <w:t xml:space="preserve">unapređenje kompetencija strukovnih nastavnika i mentora,  </w:t>
            </w:r>
          </w:p>
          <w:p w14:paraId="5C734052" w14:textId="77777777" w:rsidR="005E662D" w:rsidRPr="005E662D" w:rsidRDefault="005E662D" w:rsidP="005E662D">
            <w:pPr>
              <w:numPr>
                <w:ilvl w:val="0"/>
                <w:numId w:val="10"/>
              </w:numPr>
              <w:spacing w:after="229" w:line="276" w:lineRule="auto"/>
              <w:ind w:hanging="361"/>
              <w:jc w:val="both"/>
              <w:rPr>
                <w:rFonts w:ascii="Verdana" w:hAnsi="Verdana" w:cs="Calibri"/>
                <w:color w:val="000000"/>
              </w:rPr>
            </w:pPr>
            <w:r w:rsidRPr="005E662D">
              <w:rPr>
                <w:rFonts w:ascii="Verdana" w:hAnsi="Verdana" w:cs="Calibri"/>
                <w:color w:val="000000"/>
              </w:rPr>
              <w:t xml:space="preserve">izrada SZ, SK i kurikuluma za zanimanje Tehničar za električne strojeve s primijenjenim računalstvom </w:t>
            </w:r>
          </w:p>
          <w:p w14:paraId="4C776E58" w14:textId="77777777" w:rsidR="005E662D" w:rsidRPr="005E662D" w:rsidRDefault="005E662D" w:rsidP="005E662D">
            <w:pPr>
              <w:numPr>
                <w:ilvl w:val="0"/>
                <w:numId w:val="10"/>
              </w:numPr>
              <w:spacing w:after="230" w:line="276" w:lineRule="auto"/>
              <w:ind w:hanging="361"/>
              <w:jc w:val="both"/>
              <w:rPr>
                <w:rFonts w:ascii="Verdana" w:hAnsi="Verdana" w:cs="Calibri"/>
                <w:color w:val="000000"/>
              </w:rPr>
            </w:pPr>
            <w:r w:rsidRPr="005E662D">
              <w:rPr>
                <w:rFonts w:ascii="Verdana" w:hAnsi="Verdana" w:cs="Calibri"/>
                <w:color w:val="000000"/>
              </w:rPr>
              <w:t xml:space="preserve">izrada SZ, SK i kurikuluma za pomoćno zanimanje u području računalstva </w:t>
            </w:r>
          </w:p>
          <w:p w14:paraId="1CD0F6AB" w14:textId="77777777" w:rsidR="005E662D" w:rsidRPr="005E662D" w:rsidRDefault="005E662D" w:rsidP="005E662D">
            <w:pPr>
              <w:numPr>
                <w:ilvl w:val="0"/>
                <w:numId w:val="10"/>
              </w:numPr>
              <w:spacing w:after="130" w:line="276" w:lineRule="auto"/>
              <w:ind w:hanging="361"/>
              <w:jc w:val="both"/>
              <w:rPr>
                <w:rFonts w:ascii="Verdana" w:hAnsi="Verdana" w:cs="Calibri"/>
                <w:color w:val="000000"/>
              </w:rPr>
            </w:pPr>
            <w:r w:rsidRPr="005E662D">
              <w:rPr>
                <w:rFonts w:ascii="Verdana" w:hAnsi="Verdana" w:cs="Calibri"/>
                <w:color w:val="000000"/>
              </w:rPr>
              <w:t xml:space="preserve">modernizacija ostalih strukovnih kurikuluma za zanimanja koja se provode u Obrtno tehničkoj školi iz područja elektrotehnike i računalstva </w:t>
            </w:r>
          </w:p>
          <w:p w14:paraId="1793C9A7" w14:textId="77777777" w:rsidR="005E662D" w:rsidRPr="005E662D" w:rsidRDefault="005E662D" w:rsidP="005E662D">
            <w:pPr>
              <w:numPr>
                <w:ilvl w:val="0"/>
                <w:numId w:val="10"/>
              </w:numPr>
              <w:spacing w:after="230" w:line="276" w:lineRule="auto"/>
              <w:ind w:hanging="361"/>
              <w:jc w:val="both"/>
              <w:rPr>
                <w:rFonts w:ascii="Verdana" w:hAnsi="Verdana" w:cs="Calibri"/>
                <w:color w:val="000000"/>
              </w:rPr>
            </w:pPr>
            <w:r w:rsidRPr="005E662D">
              <w:rPr>
                <w:rFonts w:ascii="Verdana" w:hAnsi="Verdana" w:cs="Calibri"/>
                <w:color w:val="000000"/>
              </w:rPr>
              <w:t xml:space="preserve">modernizacija kurikuluma i programa cjeloživotnog učenja,  </w:t>
            </w:r>
          </w:p>
          <w:p w14:paraId="1BABC2BE" w14:textId="77777777" w:rsidR="005E662D" w:rsidRPr="005E662D" w:rsidRDefault="005E662D" w:rsidP="005E662D">
            <w:pPr>
              <w:numPr>
                <w:ilvl w:val="0"/>
                <w:numId w:val="10"/>
              </w:numPr>
              <w:spacing w:after="229" w:line="276" w:lineRule="auto"/>
              <w:ind w:hanging="361"/>
              <w:jc w:val="both"/>
              <w:rPr>
                <w:rFonts w:ascii="Verdana" w:hAnsi="Verdana" w:cs="Calibri"/>
                <w:color w:val="000000"/>
              </w:rPr>
            </w:pPr>
            <w:r w:rsidRPr="005E662D">
              <w:rPr>
                <w:rFonts w:ascii="Verdana" w:hAnsi="Verdana" w:cs="Calibri"/>
                <w:color w:val="000000"/>
              </w:rPr>
              <w:t xml:space="preserve">razmjena iskustava strukovnih nastavnika i ostalih Regionalnih centara kompetentnosti </w:t>
            </w:r>
          </w:p>
          <w:p w14:paraId="275AB9E8" w14:textId="77777777" w:rsidR="005E662D" w:rsidRPr="005E662D" w:rsidRDefault="005E662D" w:rsidP="005E662D">
            <w:pPr>
              <w:numPr>
                <w:ilvl w:val="0"/>
                <w:numId w:val="10"/>
              </w:numPr>
              <w:spacing w:after="56" w:line="276" w:lineRule="auto"/>
              <w:ind w:hanging="361"/>
              <w:jc w:val="both"/>
              <w:rPr>
                <w:rFonts w:ascii="Verdana" w:hAnsi="Verdana" w:cs="Calibri"/>
                <w:color w:val="000000"/>
              </w:rPr>
            </w:pPr>
            <w:r w:rsidRPr="005E662D">
              <w:rPr>
                <w:rFonts w:ascii="Verdana" w:hAnsi="Verdana" w:cs="Calibri"/>
                <w:color w:val="000000"/>
              </w:rPr>
              <w:t xml:space="preserve">Usvajanje novih vještina i znanja za strukovne nastavnike  pohađanjem niza usavršavanja i studijskih putovanja,  </w:t>
            </w:r>
          </w:p>
          <w:p w14:paraId="5E9ACCAD" w14:textId="77777777" w:rsidR="005E662D" w:rsidRPr="005E662D" w:rsidRDefault="005E662D" w:rsidP="005E662D">
            <w:pPr>
              <w:spacing w:line="276" w:lineRule="auto"/>
              <w:ind w:left="721"/>
              <w:rPr>
                <w:rFonts w:ascii="Verdana" w:hAnsi="Verdana" w:cs="Calibri"/>
                <w:color w:val="000000"/>
              </w:rPr>
            </w:pPr>
            <w:r w:rsidRPr="005E662D">
              <w:rPr>
                <w:rFonts w:ascii="Verdana" w:hAnsi="Verdana" w:cs="Calibri"/>
                <w:color w:val="000000"/>
              </w:rPr>
              <w:t xml:space="preserve"> </w:t>
            </w:r>
          </w:p>
          <w:p w14:paraId="73AAE90E" w14:textId="77777777" w:rsidR="005E662D" w:rsidRPr="005E662D" w:rsidRDefault="005E662D" w:rsidP="005E662D">
            <w:pPr>
              <w:numPr>
                <w:ilvl w:val="0"/>
                <w:numId w:val="10"/>
              </w:numPr>
              <w:spacing w:after="125" w:line="276" w:lineRule="auto"/>
              <w:ind w:hanging="361"/>
              <w:jc w:val="both"/>
              <w:rPr>
                <w:rFonts w:ascii="Verdana" w:hAnsi="Verdana" w:cs="Calibri"/>
                <w:color w:val="000000"/>
              </w:rPr>
            </w:pPr>
            <w:r w:rsidRPr="005E662D">
              <w:rPr>
                <w:rFonts w:ascii="Verdana" w:hAnsi="Verdana" w:cs="Calibri"/>
                <w:color w:val="000000"/>
              </w:rPr>
              <w:t xml:space="preserve">gostovanja stručnjaka u području elektrotehnike i računalstva, poduzetništva, metodike i pedagogije za usavršavanje svih relevantnih obrazovnih djelatnika i poslodavaca  </w:t>
            </w:r>
          </w:p>
          <w:p w14:paraId="7EBBA09D" w14:textId="77777777" w:rsidR="005E662D" w:rsidRPr="005E662D" w:rsidRDefault="005E662D" w:rsidP="005E662D">
            <w:pPr>
              <w:numPr>
                <w:ilvl w:val="0"/>
                <w:numId w:val="10"/>
              </w:numPr>
              <w:spacing w:after="125" w:line="276" w:lineRule="auto"/>
              <w:ind w:hanging="361"/>
              <w:jc w:val="both"/>
              <w:rPr>
                <w:rFonts w:ascii="Verdana" w:hAnsi="Verdana" w:cs="Calibri"/>
                <w:color w:val="000000"/>
              </w:rPr>
            </w:pPr>
            <w:r w:rsidRPr="005E662D">
              <w:rPr>
                <w:rFonts w:ascii="Verdana" w:hAnsi="Verdana" w:cs="Calibri"/>
                <w:color w:val="000000"/>
              </w:rPr>
              <w:t xml:space="preserve">razna natjecanja u sektoru elektrotehnike i računalstva te organizacije manifestacija: Dani </w:t>
            </w:r>
            <w:r w:rsidRPr="005E662D">
              <w:rPr>
                <w:rFonts w:ascii="Verdana" w:hAnsi="Verdana" w:cs="Calibri"/>
                <w:color w:val="000000"/>
              </w:rPr>
              <w:lastRenderedPageBreak/>
              <w:t xml:space="preserve">RCK Split, Dani obrazovanja i karijera, Otvorena vrata škole/Informativni dani,... </w:t>
            </w:r>
          </w:p>
          <w:p w14:paraId="7F0DA1D7" w14:textId="77777777" w:rsidR="005E662D" w:rsidRPr="005E662D" w:rsidRDefault="005E662D" w:rsidP="005E662D">
            <w:pPr>
              <w:numPr>
                <w:ilvl w:val="0"/>
                <w:numId w:val="10"/>
              </w:numPr>
              <w:spacing w:after="125" w:line="276" w:lineRule="auto"/>
              <w:ind w:hanging="361"/>
              <w:jc w:val="both"/>
              <w:rPr>
                <w:rFonts w:ascii="Verdana" w:hAnsi="Verdana" w:cs="Calibri"/>
                <w:color w:val="000000"/>
              </w:rPr>
            </w:pPr>
            <w:r w:rsidRPr="005E662D">
              <w:rPr>
                <w:rFonts w:ascii="Verdana" w:hAnsi="Verdana" w:cs="Calibri"/>
                <w:color w:val="000000"/>
              </w:rPr>
              <w:t xml:space="preserve">partnerstvo s obrtima i tvrtkama u Splitsko-dalmatinskoj županiji iz područja elektrotehnike i računalstva u cilju obrazovanja učenika u skladu sa zahtjevima tržišta rada i praćenja novih tehnologija i metoda rada - izrada digitalnih obrazovnih sadržaja za omogućavanje neprekidnog učenja redovnih učenika i polaznika obrazovanja odraslih, uz primjenu najnovijih tehnologija (VR virtualna stvarnost, korištenje digitalnih alata...) za što bolju pripremu na tržištu rada,  </w:t>
            </w:r>
          </w:p>
          <w:p w14:paraId="4906AA38" w14:textId="77777777" w:rsidR="005E662D" w:rsidRPr="005E662D" w:rsidRDefault="005E662D" w:rsidP="005E662D">
            <w:pPr>
              <w:numPr>
                <w:ilvl w:val="0"/>
                <w:numId w:val="10"/>
              </w:numPr>
              <w:spacing w:after="125" w:line="276" w:lineRule="auto"/>
              <w:ind w:hanging="361"/>
              <w:jc w:val="both"/>
              <w:rPr>
                <w:rFonts w:ascii="Verdana" w:hAnsi="Verdana" w:cs="Calibri"/>
                <w:color w:val="000000"/>
              </w:rPr>
            </w:pPr>
            <w:r w:rsidRPr="005E662D">
              <w:rPr>
                <w:rFonts w:ascii="Verdana" w:hAnsi="Verdana" w:cs="Calibri"/>
                <w:color w:val="000000"/>
              </w:rPr>
              <w:t xml:space="preserve">omogućavanje kontinuiranog usavršavanja učenika i osoba iz obrazovanja odraslih uz Ured za karijere i mentorstvo djelatnika FESB-a, Inovativne učionice, razvoj poduzetništva osnivanjem Vježbeničkih tvrtki uz suradnju sa Hrvatskom obrtničkom komorom… </w:t>
            </w:r>
          </w:p>
          <w:p w14:paraId="1FBCFC97" w14:textId="77777777" w:rsidR="005E662D" w:rsidRPr="005E662D" w:rsidRDefault="005E662D" w:rsidP="005E662D">
            <w:pPr>
              <w:numPr>
                <w:ilvl w:val="0"/>
                <w:numId w:val="10"/>
              </w:numPr>
              <w:spacing w:after="72" w:line="276" w:lineRule="auto"/>
              <w:ind w:hanging="361"/>
              <w:jc w:val="both"/>
              <w:rPr>
                <w:rFonts w:ascii="Verdana" w:hAnsi="Verdana" w:cs="Calibri"/>
                <w:color w:val="000000"/>
              </w:rPr>
            </w:pPr>
            <w:r w:rsidRPr="005E662D">
              <w:rPr>
                <w:rFonts w:ascii="Verdana" w:hAnsi="Verdana" w:cs="Calibri"/>
                <w:color w:val="000000"/>
              </w:rPr>
              <w:t xml:space="preserve">Opremanje školskih učionica i laboratorija Obrtno tehničke škole i uključenih partnera, s najmodernijim alatima i opremom za obuku i razvoj novih vještina i znanja u primjeni naj-novijih dostignuća u području elektrotehnike i računalstva i izvođenju praktične nastave u moderniziranim programima obrazovanja </w:t>
            </w:r>
          </w:p>
          <w:p w14:paraId="3032E2F4" w14:textId="77777777" w:rsidR="005E662D" w:rsidRPr="005E662D" w:rsidRDefault="005E662D" w:rsidP="005E662D">
            <w:pPr>
              <w:spacing w:line="276" w:lineRule="auto"/>
              <w:ind w:left="16" w:right="2"/>
              <w:rPr>
                <w:rFonts w:ascii="Verdana" w:hAnsi="Verdana" w:cs="Calibri"/>
                <w:color w:val="000000"/>
              </w:rPr>
            </w:pPr>
            <w:r w:rsidRPr="005E662D">
              <w:rPr>
                <w:rFonts w:ascii="Verdana" w:hAnsi="Verdana" w:cs="Calibri"/>
                <w:color w:val="000000"/>
              </w:rPr>
              <w:t xml:space="preserve">Učenici i polaznici obrazovanja odraslih, mentori zaposleni kod poslodavaca, uz strukovne nastavnike i mentore u Splitsko-dalmatinskoj i susjednim županijama, su ciljne skupine u projektu, unaprjeđujemo njihove kompetencije potrebne za tržište rada. </w:t>
            </w:r>
          </w:p>
          <w:p w14:paraId="2B398A07" w14:textId="77777777" w:rsidR="005E662D" w:rsidRPr="005E662D" w:rsidRDefault="005E662D" w:rsidP="005E662D">
            <w:pPr>
              <w:spacing w:after="14" w:line="276" w:lineRule="auto"/>
              <w:ind w:left="16"/>
              <w:rPr>
                <w:rFonts w:ascii="Verdana" w:hAnsi="Verdana" w:cs="Calibri"/>
                <w:color w:val="000000"/>
              </w:rPr>
            </w:pPr>
            <w:r w:rsidRPr="005E662D">
              <w:rPr>
                <w:rFonts w:ascii="Verdana" w:hAnsi="Verdana" w:cs="Calibri"/>
                <w:color w:val="000000"/>
              </w:rPr>
              <w:t xml:space="preserve">Isto tako predviđene su edukacije za osposobljavanje djelatnika Obrtno tehničke škola (i svih ostalih obrazovnih institucija u Splitsko-dalmatinskoj i susjednim županijama) za rad s tom djecom kao i za osposobljavanje za rad s djecom koja imaju tjelesnu invalidnost. U cilju toga nabavljaju se i nastavna pomagala te razvijaju metode za rad s tom djecom i odraslim osobama koji spadaju u obje skupine. </w:t>
            </w:r>
          </w:p>
          <w:p w14:paraId="5970EAC9" w14:textId="77777777" w:rsidR="005E662D" w:rsidRPr="005E662D" w:rsidRDefault="005E662D" w:rsidP="005E662D">
            <w:pPr>
              <w:pStyle w:val="Odlomakpopisa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14:paraId="5BEBFC5B" w14:textId="77777777" w:rsidR="005E662D" w:rsidRPr="009348C7" w:rsidRDefault="005E662D" w:rsidP="005E662D">
            <w:pPr>
              <w:spacing w:after="230" w:line="276" w:lineRule="auto"/>
              <w:ind w:left="706"/>
              <w:jc w:val="both"/>
              <w:rPr>
                <w:rFonts w:ascii="Verdana" w:hAnsi="Verdana" w:cs="Calibri"/>
                <w:color w:val="000000"/>
              </w:rPr>
            </w:pPr>
          </w:p>
          <w:p w14:paraId="073D1903" w14:textId="77777777" w:rsidR="00321802" w:rsidRPr="003A3C1D" w:rsidRDefault="009348C7" w:rsidP="00D55D1F">
            <w:pPr>
              <w:jc w:val="both"/>
              <w:rPr>
                <w:bCs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 xml:space="preserve"> </w:t>
            </w:r>
            <w:r w:rsidR="00391099" w:rsidRPr="004C5AC8">
              <w:rPr>
                <w:rFonts w:ascii="Verdana" w:hAnsi="Verdana" w:cs="Calibri"/>
                <w:color w:val="000000"/>
              </w:rPr>
              <w:t xml:space="preserve"> </w:t>
            </w:r>
          </w:p>
        </w:tc>
      </w:tr>
      <w:tr w:rsidR="00C964D5" w:rsidRPr="003A3C1D" w14:paraId="4891FCCE" w14:textId="77777777" w:rsidTr="00FF2717">
        <w:trPr>
          <w:trHeight w:val="257"/>
        </w:trPr>
        <w:tc>
          <w:tcPr>
            <w:tcW w:w="2331" w:type="dxa"/>
            <w:gridSpan w:val="2"/>
            <w:shd w:val="clear" w:color="auto" w:fill="D9D9D9"/>
          </w:tcPr>
          <w:p w14:paraId="530F45F4" w14:textId="77777777" w:rsidR="00C964D5" w:rsidRPr="00AC2C3E" w:rsidRDefault="00C964D5" w:rsidP="00321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lastRenderedPageBreak/>
              <w:t>Obrazloženje izračuna financijskih sredstava</w:t>
            </w:r>
          </w:p>
        </w:tc>
        <w:tc>
          <w:tcPr>
            <w:tcW w:w="6957" w:type="dxa"/>
            <w:gridSpan w:val="5"/>
            <w:shd w:val="clear" w:color="auto" w:fill="auto"/>
          </w:tcPr>
          <w:p w14:paraId="0BFB73B1" w14:textId="77777777" w:rsidR="00C964D5" w:rsidRPr="003A3C1D" w:rsidRDefault="00112CAF" w:rsidP="0032180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Projekt završava u 2023. godini , te je planirana potrošnja cjelokupnih bespovratnih sredstaava.</w:t>
            </w:r>
            <w:r w:rsidR="00171A25">
              <w:rPr>
                <w:bCs/>
                <w:color w:val="000000"/>
              </w:rPr>
              <w:t xml:space="preserve"> Povećanja su se odnosila na povećana plaćanja prema partnrima u projektu zbog neiskorištenih sredstava za plaću nositelja projekta.</w:t>
            </w:r>
          </w:p>
        </w:tc>
      </w:tr>
      <w:tr w:rsidR="0033683A" w:rsidRPr="003A3C1D" w14:paraId="3DEF27EA" w14:textId="77777777" w:rsidTr="00FF2717">
        <w:trPr>
          <w:trHeight w:val="257"/>
        </w:trPr>
        <w:tc>
          <w:tcPr>
            <w:tcW w:w="9288" w:type="dxa"/>
            <w:gridSpan w:val="7"/>
            <w:shd w:val="clear" w:color="auto" w:fill="FFFFFF"/>
          </w:tcPr>
          <w:p w14:paraId="239C4AD2" w14:textId="77777777" w:rsidR="0033683A" w:rsidRPr="003A3C1D" w:rsidRDefault="0033683A" w:rsidP="00321802">
            <w:pPr>
              <w:rPr>
                <w:bCs/>
                <w:color w:val="000000"/>
              </w:rPr>
            </w:pPr>
          </w:p>
        </w:tc>
      </w:tr>
      <w:tr w:rsidR="00FF2717" w:rsidRPr="005E3C13" w14:paraId="62CE037E" w14:textId="77777777" w:rsidTr="00FF2717">
        <w:tc>
          <w:tcPr>
            <w:tcW w:w="2235" w:type="dxa"/>
            <w:shd w:val="clear" w:color="auto" w:fill="D9D9D9"/>
          </w:tcPr>
          <w:p w14:paraId="1ADB1CBE" w14:textId="77777777" w:rsidR="00FF2717" w:rsidRPr="003A3C1D" w:rsidRDefault="00FF2717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3100" w:type="dxa"/>
            <w:gridSpan w:val="4"/>
            <w:shd w:val="clear" w:color="auto" w:fill="auto"/>
          </w:tcPr>
          <w:p w14:paraId="62EA6B9B" w14:textId="77777777" w:rsidR="00FF2717" w:rsidRPr="005E3C13" w:rsidRDefault="00FF27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programa</w:t>
            </w:r>
          </w:p>
        </w:tc>
        <w:tc>
          <w:tcPr>
            <w:tcW w:w="3953" w:type="dxa"/>
            <w:gridSpan w:val="2"/>
            <w:shd w:val="clear" w:color="auto" w:fill="auto"/>
          </w:tcPr>
          <w:p w14:paraId="562EF731" w14:textId="77777777" w:rsidR="00FF2717" w:rsidRPr="005E3C13" w:rsidRDefault="00FF2717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programa</w:t>
            </w:r>
          </w:p>
        </w:tc>
      </w:tr>
      <w:tr w:rsidR="00FF2717" w:rsidRPr="003A3C1D" w14:paraId="4E2A88A5" w14:textId="77777777" w:rsidTr="00FF2717">
        <w:tc>
          <w:tcPr>
            <w:tcW w:w="2235" w:type="dxa"/>
            <w:shd w:val="clear" w:color="auto" w:fill="D9D9D9"/>
          </w:tcPr>
          <w:p w14:paraId="1468D9CF" w14:textId="77777777" w:rsidR="00FF2717" w:rsidRPr="003A3C1D" w:rsidRDefault="00FF27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7053" w:type="dxa"/>
            <w:gridSpan w:val="6"/>
            <w:shd w:val="clear" w:color="auto" w:fill="auto"/>
          </w:tcPr>
          <w:p w14:paraId="1578964B" w14:textId="77777777" w:rsidR="00FF2717" w:rsidRPr="003A3C1D" w:rsidRDefault="00FF2717">
            <w:pPr>
              <w:jc w:val="both"/>
              <w:rPr>
                <w:bCs/>
                <w:color w:val="000000"/>
              </w:rPr>
            </w:pPr>
          </w:p>
        </w:tc>
      </w:tr>
      <w:tr w:rsidR="00FF2717" w:rsidRPr="00AC2C3E" w14:paraId="78E8BFE6" w14:textId="77777777" w:rsidTr="00FF2717">
        <w:trPr>
          <w:trHeight w:val="218"/>
        </w:trPr>
        <w:tc>
          <w:tcPr>
            <w:tcW w:w="2235" w:type="dxa"/>
            <w:shd w:val="clear" w:color="auto" w:fill="F2F2F2"/>
          </w:tcPr>
          <w:p w14:paraId="50C91422" w14:textId="77777777" w:rsidR="00FF2717" w:rsidRPr="00AC2C3E" w:rsidRDefault="00FF2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Proračun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3"/>
            <w:shd w:val="clear" w:color="auto" w:fill="F2F2F2"/>
          </w:tcPr>
          <w:p w14:paraId="4D162F4C" w14:textId="77777777" w:rsidR="00FF2717" w:rsidRPr="00AC2C3E" w:rsidRDefault="00FF2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I. Rebalans 202</w:t>
            </w: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76" w:type="dxa"/>
            <w:gridSpan w:val="2"/>
            <w:shd w:val="clear" w:color="auto" w:fill="F2F2F2"/>
          </w:tcPr>
          <w:p w14:paraId="6721535E" w14:textId="77777777" w:rsidR="00FF2717" w:rsidRPr="00AC2C3E" w:rsidRDefault="00FF2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Iznos promjene</w:t>
            </w:r>
          </w:p>
        </w:tc>
        <w:tc>
          <w:tcPr>
            <w:tcW w:w="2409" w:type="dxa"/>
          </w:tcPr>
          <w:p w14:paraId="04883869" w14:textId="77777777" w:rsidR="00FF2717" w:rsidRPr="00AC2C3E" w:rsidRDefault="00FF2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I. Rebalans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F2717" w:rsidRPr="00B41766" w14:paraId="2EAEEC0B" w14:textId="77777777" w:rsidTr="00FF2717">
        <w:trPr>
          <w:trHeight w:val="2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DDC2" w14:textId="77777777" w:rsidR="00FF2717" w:rsidRPr="00B41766" w:rsidRDefault="0059318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3.850.122,77</w:t>
            </w:r>
            <w:r w:rsidR="00FF2717">
              <w:rPr>
                <w:bCs/>
                <w:color w:val="000000"/>
              </w:rPr>
              <w:t>€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110D" w14:textId="77777777" w:rsidR="00FF2717" w:rsidRPr="00B41766" w:rsidRDefault="0059318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3.850.122,77</w:t>
            </w:r>
            <w:r w:rsidR="00FF2717">
              <w:rPr>
                <w:bCs/>
                <w:color w:val="000000"/>
              </w:rPr>
              <w:t>€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F4B1" w14:textId="77777777" w:rsidR="00FF2717" w:rsidRPr="00B41766" w:rsidRDefault="00593185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1.205.415,68</w:t>
            </w:r>
            <w:r w:rsidR="00FF2717">
              <w:rPr>
                <w:bCs/>
                <w:color w:val="000000"/>
              </w:rPr>
              <w:t>€</w:t>
            </w:r>
          </w:p>
        </w:tc>
        <w:tc>
          <w:tcPr>
            <w:tcW w:w="2409" w:type="dxa"/>
          </w:tcPr>
          <w:p w14:paraId="6DA00363" w14:textId="77777777" w:rsidR="00FF2717" w:rsidRPr="00B41766" w:rsidRDefault="00593185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2.644.707,09</w:t>
            </w:r>
            <w:r w:rsidR="00FF2717">
              <w:rPr>
                <w:bCs/>
                <w:color w:val="000000"/>
              </w:rPr>
              <w:t>€</w:t>
            </w:r>
          </w:p>
        </w:tc>
      </w:tr>
    </w:tbl>
    <w:p w14:paraId="07A23E3D" w14:textId="77777777" w:rsidR="005D1372" w:rsidRDefault="005D1372" w:rsidP="005D1372">
      <w:pPr>
        <w:rPr>
          <w:color w:val="FF0000"/>
        </w:rPr>
      </w:pPr>
    </w:p>
    <w:p w14:paraId="763A4E46" w14:textId="77777777" w:rsidR="00AC2C3E" w:rsidRDefault="00AC2C3E" w:rsidP="005D1372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050"/>
        <w:gridCol w:w="928"/>
        <w:gridCol w:w="1999"/>
        <w:gridCol w:w="1394"/>
        <w:gridCol w:w="1966"/>
      </w:tblGrid>
      <w:tr w:rsidR="00B41766" w:rsidRPr="00466EA6" w14:paraId="173E5C57" w14:textId="77777777" w:rsidTr="00156DB2">
        <w:trPr>
          <w:trHeight w:val="651"/>
        </w:trPr>
        <w:tc>
          <w:tcPr>
            <w:tcW w:w="0" w:type="auto"/>
            <w:shd w:val="clear" w:color="auto" w:fill="D9D9D9"/>
          </w:tcPr>
          <w:p w14:paraId="35D9C266" w14:textId="77777777" w:rsidR="00B41766" w:rsidRPr="00AD6019" w:rsidRDefault="00B41766" w:rsidP="00E73FE4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14:paraId="7E039D57" w14:textId="77777777" w:rsidR="00B41766" w:rsidRPr="00AD6019" w:rsidRDefault="00B41766" w:rsidP="00E73FE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6BB80E16" w14:textId="77777777" w:rsidR="00B41766" w:rsidRPr="00AD6019" w:rsidRDefault="00B41766" w:rsidP="00E73FE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0F014906" w14:textId="77777777" w:rsidR="00B41766" w:rsidRPr="00AD6019" w:rsidRDefault="00B41766" w:rsidP="00E73FE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816DBC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3F5B155D" w14:textId="77777777" w:rsidR="00B41766" w:rsidRPr="00AD6019" w:rsidRDefault="00B41766" w:rsidP="00E73F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244F74BE" w14:textId="77777777" w:rsidR="00B41766" w:rsidRPr="00AD6019" w:rsidRDefault="00B41766" w:rsidP="00E73FE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816DBC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B41766" w14:paraId="109101C2" w14:textId="77777777" w:rsidTr="00156DB2">
        <w:trPr>
          <w:trHeight w:val="219"/>
        </w:trPr>
        <w:tc>
          <w:tcPr>
            <w:tcW w:w="0" w:type="auto"/>
            <w:shd w:val="clear" w:color="auto" w:fill="auto"/>
          </w:tcPr>
          <w:p w14:paraId="4E693BBD" w14:textId="77777777" w:rsidR="00B41766" w:rsidRPr="00156DB2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6259C19" w14:textId="77777777" w:rsidR="00B41766" w:rsidRPr="00156DB2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BE24E23" w14:textId="77777777" w:rsidR="00B41766" w:rsidRPr="00156DB2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3DC7381" w14:textId="77777777" w:rsidR="00B41766" w:rsidRPr="00156DB2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B47C6BA" w14:textId="77777777" w:rsidR="00B41766" w:rsidRPr="00156DB2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9F7D26" w14:textId="77777777" w:rsidR="00B41766" w:rsidRPr="00156DB2" w:rsidRDefault="00B41766" w:rsidP="00E73FE4">
            <w:pPr>
              <w:rPr>
                <w:sz w:val="22"/>
                <w:szCs w:val="22"/>
              </w:rPr>
            </w:pPr>
          </w:p>
        </w:tc>
      </w:tr>
      <w:tr w:rsidR="00B41766" w14:paraId="03D6AFB1" w14:textId="77777777" w:rsidTr="00156DB2">
        <w:trPr>
          <w:trHeight w:val="219"/>
        </w:trPr>
        <w:tc>
          <w:tcPr>
            <w:tcW w:w="0" w:type="auto"/>
            <w:shd w:val="clear" w:color="auto" w:fill="auto"/>
          </w:tcPr>
          <w:p w14:paraId="25FD38FC" w14:textId="77777777" w:rsidR="00B41766" w:rsidRPr="00156DB2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E7FD64A" w14:textId="77777777" w:rsidR="00B41766" w:rsidRPr="00156DB2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94CBE50" w14:textId="77777777" w:rsidR="00B41766" w:rsidRPr="00156DB2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02DA60D" w14:textId="77777777" w:rsidR="00B41766" w:rsidRPr="00156DB2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2483A41" w14:textId="77777777" w:rsidR="00B41766" w:rsidRPr="00156DB2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7EFC148" w14:textId="77777777" w:rsidR="00B41766" w:rsidRPr="00156DB2" w:rsidRDefault="00B41766" w:rsidP="00E73FE4">
            <w:pPr>
              <w:rPr>
                <w:sz w:val="22"/>
                <w:szCs w:val="22"/>
              </w:rPr>
            </w:pPr>
          </w:p>
        </w:tc>
      </w:tr>
      <w:tr w:rsidR="00B41766" w14:paraId="0B77AA17" w14:textId="77777777" w:rsidTr="00156DB2">
        <w:trPr>
          <w:trHeight w:val="219"/>
        </w:trPr>
        <w:tc>
          <w:tcPr>
            <w:tcW w:w="0" w:type="auto"/>
            <w:shd w:val="clear" w:color="auto" w:fill="auto"/>
          </w:tcPr>
          <w:p w14:paraId="5E1EC62E" w14:textId="77777777" w:rsidR="00B41766" w:rsidRPr="00156DB2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DA5CB58" w14:textId="77777777" w:rsidR="00B41766" w:rsidRPr="00156DB2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C76D9BE" w14:textId="77777777" w:rsidR="00B41766" w:rsidRPr="00156DB2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68C21A5" w14:textId="77777777" w:rsidR="00B41766" w:rsidRPr="00156DB2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8F385B1" w14:textId="77777777" w:rsidR="00B41766" w:rsidRPr="00156DB2" w:rsidRDefault="00B41766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15CAD77" w14:textId="77777777" w:rsidR="00B41766" w:rsidRPr="00156DB2" w:rsidRDefault="00B41766" w:rsidP="00E73FE4">
            <w:pPr>
              <w:rPr>
                <w:sz w:val="22"/>
                <w:szCs w:val="22"/>
              </w:rPr>
            </w:pPr>
          </w:p>
        </w:tc>
      </w:tr>
    </w:tbl>
    <w:p w14:paraId="08C4F193" w14:textId="77777777" w:rsidR="00E46DBA" w:rsidRDefault="00E46DBA" w:rsidP="005D1372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514"/>
        <w:gridCol w:w="5590"/>
      </w:tblGrid>
      <w:tr w:rsidR="006A00D3" w:rsidRPr="005E3C13" w14:paraId="319D5021" w14:textId="77777777">
        <w:trPr>
          <w:trHeight w:val="517"/>
        </w:trPr>
        <w:tc>
          <w:tcPr>
            <w:tcW w:w="1053" w:type="pct"/>
            <w:shd w:val="clear" w:color="auto" w:fill="D9D9D9"/>
          </w:tcPr>
          <w:p w14:paraId="0674573E" w14:textId="77777777" w:rsidR="006A00D3" w:rsidRPr="003A3C1D" w:rsidRDefault="006A00D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14" w:type="pct"/>
            <w:shd w:val="clear" w:color="auto" w:fill="auto"/>
          </w:tcPr>
          <w:p w14:paraId="384399E6" w14:textId="77777777" w:rsidR="006A00D3" w:rsidRDefault="006A00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14:paraId="1473E51F" w14:textId="77777777" w:rsidR="006A00D3" w:rsidRPr="005E3C13" w:rsidRDefault="006A00D3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  <w:r>
              <w:rPr>
                <w:b/>
                <w:bCs/>
                <w:color w:val="000000"/>
              </w:rPr>
              <w:t xml:space="preserve"> K400104</w:t>
            </w:r>
          </w:p>
        </w:tc>
        <w:tc>
          <w:tcPr>
            <w:tcW w:w="3006" w:type="pct"/>
            <w:shd w:val="clear" w:color="auto" w:fill="auto"/>
          </w:tcPr>
          <w:p w14:paraId="3D29A490" w14:textId="77777777" w:rsidR="006A00D3" w:rsidRDefault="006A00D3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14:paraId="019AFB0A" w14:textId="77777777" w:rsidR="006A00D3" w:rsidRPr="005E3C13" w:rsidRDefault="006A00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Razvojni centar za elektrotehniku i računalstvo</w:t>
            </w:r>
          </w:p>
        </w:tc>
      </w:tr>
      <w:tr w:rsidR="006A00D3" w:rsidRPr="0090601B" w14:paraId="39A88BC7" w14:textId="77777777">
        <w:trPr>
          <w:trHeight w:val="517"/>
        </w:trPr>
        <w:tc>
          <w:tcPr>
            <w:tcW w:w="1053" w:type="pct"/>
            <w:shd w:val="clear" w:color="auto" w:fill="D9D9D9"/>
          </w:tcPr>
          <w:p w14:paraId="7B17BCE1" w14:textId="77777777" w:rsidR="006A00D3" w:rsidRPr="003A3C1D" w:rsidRDefault="006A00D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819" w:type="pct"/>
            <w:gridSpan w:val="2"/>
            <w:shd w:val="clear" w:color="auto" w:fill="auto"/>
          </w:tcPr>
          <w:p w14:paraId="58B60699" w14:textId="77777777" w:rsidR="006A00D3" w:rsidRPr="0090601B" w:rsidRDefault="006A00D3">
            <w:pPr>
              <w:rPr>
                <w:rFonts w:eastAsia="Symbol"/>
                <w:iCs/>
                <w:lang w:val="pl-PL"/>
              </w:rPr>
            </w:pPr>
            <w:r w:rsidRPr="0090601B">
              <w:rPr>
                <w:rFonts w:eastAsia="Symbol"/>
                <w:iCs/>
                <w:sz w:val="28"/>
                <w:szCs w:val="28"/>
                <w:lang w:val="pl-PL"/>
              </w:rPr>
              <w:t>Odluka Ministarstva regionalnog razvoja i fondova europske unije o financiranju projektog prijedloga „Razvojni centar za elektrotehniku i računalstvo SDŽ od 13.srpnja 2020. godine</w:t>
            </w:r>
            <w:r w:rsidRPr="0090601B">
              <w:rPr>
                <w:rFonts w:eastAsia="Symbol"/>
                <w:iCs/>
                <w:lang w:val="pl-PL"/>
              </w:rPr>
              <w:t>.</w:t>
            </w:r>
          </w:p>
          <w:p w14:paraId="5A2811BE" w14:textId="77777777" w:rsidR="006A00D3" w:rsidRPr="0090601B" w:rsidRDefault="006A00D3">
            <w:pPr>
              <w:spacing w:after="14" w:line="276" w:lineRule="auto"/>
              <w:ind w:left="16"/>
              <w:rPr>
                <w:rFonts w:ascii="Verdana" w:hAnsi="Verdana" w:cs="Calibri"/>
                <w:color w:val="000000"/>
                <w:lang w:val="pl-PL"/>
              </w:rPr>
            </w:pPr>
            <w:r w:rsidRPr="0090601B">
              <w:rPr>
                <w:rFonts w:ascii="Verdana" w:hAnsi="Verdana" w:cs="Calibri"/>
                <w:lang w:val="pl-PL"/>
              </w:rPr>
              <w:t xml:space="preserve">Ugovor o dodjeli bespovratnih sredstava za projekte koji se financiraju iz EU fondova u financijskom razdoblju 2014.-2020.« - zavedenim pod brojem </w:t>
            </w:r>
            <w:r w:rsidRPr="0090601B">
              <w:rPr>
                <w:rFonts w:ascii="Verdana" w:hAnsi="Verdana" w:cs="Calibri"/>
                <w:b/>
                <w:bCs/>
                <w:lang w:val="pl-PL"/>
              </w:rPr>
              <w:t>KK.</w:t>
            </w:r>
            <w:r w:rsidRPr="0090601B">
              <w:rPr>
                <w:rFonts w:ascii="Verdana" w:hAnsi="Verdana" w:cs="Calibri"/>
                <w:b/>
                <w:lang w:val="pl-PL"/>
              </w:rPr>
              <w:t>09.1.3.01.0026 „</w:t>
            </w:r>
            <w:r w:rsidRPr="0090601B">
              <w:rPr>
                <w:rFonts w:ascii="Verdana" w:hAnsi="Verdana" w:cs="Calibri"/>
                <w:b/>
                <w:color w:val="000000"/>
                <w:lang w:val="pl-PL"/>
              </w:rPr>
              <w:t>Razvojni centar za elektrotehniku i računalstvo Splitsko-dalmatinske županije”</w:t>
            </w:r>
            <w:r w:rsidRPr="0090601B">
              <w:rPr>
                <w:rFonts w:ascii="Verdana" w:hAnsi="Verdana" w:cs="Calibri"/>
                <w:color w:val="000000"/>
                <w:lang w:val="pl-PL"/>
              </w:rPr>
              <w:t xml:space="preserve"> i to dana 19. </w:t>
            </w:r>
            <w:r>
              <w:rPr>
                <w:rFonts w:ascii="Verdana" w:hAnsi="Verdana" w:cs="Calibri"/>
                <w:color w:val="000000"/>
                <w:lang w:val="pl-PL"/>
              </w:rPr>
              <w:t>r</w:t>
            </w:r>
            <w:r w:rsidRPr="0090601B">
              <w:rPr>
                <w:rFonts w:ascii="Verdana" w:hAnsi="Verdana" w:cs="Calibri"/>
                <w:color w:val="000000"/>
                <w:lang w:val="pl-PL"/>
              </w:rPr>
              <w:t xml:space="preserve">ujna 2019. godine </w:t>
            </w:r>
          </w:p>
          <w:p w14:paraId="4E3D9105" w14:textId="77777777" w:rsidR="006A00D3" w:rsidRPr="0090601B" w:rsidRDefault="006A00D3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2AF15558" w14:textId="77777777" w:rsidR="006A00D3" w:rsidRPr="0090601B" w:rsidRDefault="006A00D3">
            <w:pPr>
              <w:rPr>
                <w:rFonts w:eastAsia="Symbol"/>
                <w:iCs/>
                <w:color w:val="FF0000"/>
                <w:lang w:val="pl-PL"/>
              </w:rPr>
            </w:pPr>
          </w:p>
          <w:p w14:paraId="0763D35C" w14:textId="77777777" w:rsidR="006A00D3" w:rsidRPr="0090601B" w:rsidRDefault="006A00D3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1BB0215A" w14:textId="77777777" w:rsidR="006A00D3" w:rsidRPr="0090601B" w:rsidRDefault="006A00D3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4EFC449F" w14:textId="77777777" w:rsidR="006A00D3" w:rsidRPr="0090601B" w:rsidRDefault="006A00D3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3EE17A2D" w14:textId="77777777" w:rsidR="006A00D3" w:rsidRPr="0090601B" w:rsidRDefault="006A00D3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6B18F832" w14:textId="77777777" w:rsidR="006A00D3" w:rsidRPr="0090601B" w:rsidRDefault="006A00D3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37F68CED" w14:textId="77777777" w:rsidR="006A00D3" w:rsidRPr="0090601B" w:rsidRDefault="006A00D3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08893632" w14:textId="77777777" w:rsidR="006A00D3" w:rsidRPr="0090601B" w:rsidRDefault="006A00D3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12F0C454" w14:textId="77777777" w:rsidR="006A00D3" w:rsidRPr="0090601B" w:rsidRDefault="006A00D3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6A00D3" w:rsidRPr="003A3C1D" w14:paraId="000F0B4D" w14:textId="77777777">
        <w:trPr>
          <w:trHeight w:val="257"/>
        </w:trPr>
        <w:tc>
          <w:tcPr>
            <w:tcW w:w="1053" w:type="pct"/>
            <w:shd w:val="clear" w:color="auto" w:fill="D9D9D9"/>
          </w:tcPr>
          <w:p w14:paraId="12073327" w14:textId="77777777" w:rsidR="006A00D3" w:rsidRPr="003A3C1D" w:rsidRDefault="006A00D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819" w:type="pct"/>
            <w:gridSpan w:val="2"/>
            <w:shd w:val="clear" w:color="auto" w:fill="auto"/>
          </w:tcPr>
          <w:p w14:paraId="39421B30" w14:textId="77777777" w:rsidR="006A00D3" w:rsidRDefault="006A00D3">
            <w:pPr>
              <w:jc w:val="both"/>
              <w:rPr>
                <w:bCs/>
                <w:color w:val="000000"/>
              </w:rPr>
            </w:pPr>
          </w:p>
          <w:p w14:paraId="3819C6DF" w14:textId="77777777" w:rsidR="006A00D3" w:rsidRDefault="006A00D3">
            <w:pPr>
              <w:jc w:val="both"/>
              <w:rPr>
                <w:bCs/>
                <w:color w:val="000000"/>
              </w:rPr>
            </w:pPr>
          </w:p>
          <w:p w14:paraId="4FEF28F6" w14:textId="77777777" w:rsidR="006A00D3" w:rsidRDefault="006A00D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Izgradnja Regionalnog centra za elektrotehniku i računalstvo u sklopu </w:t>
            </w:r>
            <w:r>
              <w:rPr>
                <w:bCs/>
                <w:color w:val="000000"/>
              </w:rPr>
              <w:lastRenderedPageBreak/>
              <w:t>Obrtne tehničke škole. Radi se o nadogradnji nad učionicama za praktičnu nastavu. U sklopu projekta se grade i podzemne garaže. Osim izgradnje, projektom je predviđeno i djelomično opremanje novoizgrađenih prostora.</w:t>
            </w:r>
          </w:p>
          <w:p w14:paraId="250337F1" w14:textId="77777777" w:rsidR="006F6F0C" w:rsidRDefault="006F6F0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Zbog kašnjenja u izdavanju raznih dozvola,</w:t>
            </w:r>
            <w:r w:rsidR="00CB0871">
              <w:rPr>
                <w:bCs/>
                <w:color w:val="000000"/>
              </w:rPr>
              <w:t xml:space="preserve"> te početka građevinski radova krajem mjeseca kolovza 2023. godine, </w:t>
            </w:r>
            <w:r>
              <w:rPr>
                <w:bCs/>
                <w:color w:val="000000"/>
              </w:rPr>
              <w:t>isti se neće napraviti u 2023. godini te neće biti ni naplaćeni u istoj.</w:t>
            </w:r>
          </w:p>
          <w:p w14:paraId="0785D279" w14:textId="77777777" w:rsidR="006A00D3" w:rsidRDefault="006A00D3">
            <w:pPr>
              <w:jc w:val="both"/>
              <w:rPr>
                <w:bCs/>
                <w:color w:val="000000"/>
              </w:rPr>
            </w:pPr>
          </w:p>
          <w:p w14:paraId="33E82F18" w14:textId="77777777" w:rsidR="006A00D3" w:rsidRDefault="006A00D3">
            <w:pPr>
              <w:jc w:val="both"/>
              <w:rPr>
                <w:bCs/>
                <w:color w:val="000000"/>
              </w:rPr>
            </w:pPr>
          </w:p>
          <w:p w14:paraId="6D637BF7" w14:textId="77777777" w:rsidR="006A00D3" w:rsidRDefault="006A00D3">
            <w:pPr>
              <w:jc w:val="both"/>
              <w:rPr>
                <w:bCs/>
                <w:color w:val="000000"/>
              </w:rPr>
            </w:pPr>
          </w:p>
          <w:p w14:paraId="1C97A12D" w14:textId="77777777" w:rsidR="006A00D3" w:rsidRPr="003A3C1D" w:rsidRDefault="006A00D3">
            <w:pPr>
              <w:jc w:val="both"/>
              <w:rPr>
                <w:bCs/>
                <w:color w:val="000000"/>
              </w:rPr>
            </w:pPr>
          </w:p>
        </w:tc>
      </w:tr>
      <w:tr w:rsidR="006A00D3" w:rsidRPr="002808EC" w14:paraId="223CD869" w14:textId="77777777">
        <w:trPr>
          <w:trHeight w:val="257"/>
        </w:trPr>
        <w:tc>
          <w:tcPr>
            <w:tcW w:w="1053" w:type="pct"/>
            <w:shd w:val="clear" w:color="auto" w:fill="D9D9D9"/>
          </w:tcPr>
          <w:p w14:paraId="5C31352E" w14:textId="77777777" w:rsidR="006A00D3" w:rsidRPr="003A3C1D" w:rsidRDefault="006A00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819" w:type="pct"/>
            <w:gridSpan w:val="2"/>
            <w:shd w:val="clear" w:color="auto" w:fill="auto"/>
          </w:tcPr>
          <w:p w14:paraId="66D205FE" w14:textId="77777777" w:rsidR="006A00D3" w:rsidRPr="002808EC" w:rsidRDefault="006A00D3">
            <w:pPr>
              <w:jc w:val="both"/>
              <w:rPr>
                <w:iCs/>
              </w:rPr>
            </w:pPr>
            <w:r>
              <w:rPr>
                <w:iCs/>
              </w:rPr>
              <w:t>Zbog povećanih troškova izgradnje</w:t>
            </w:r>
            <w:r w:rsidR="00862B23">
              <w:rPr>
                <w:iCs/>
              </w:rPr>
              <w:t xml:space="preserve">, te dobivenih ponuda u postupku javne nabave, planirano </w:t>
            </w:r>
            <w:r w:rsidR="00CA33DE">
              <w:rPr>
                <w:iCs/>
              </w:rPr>
              <w:t xml:space="preserve">je </w:t>
            </w:r>
            <w:r w:rsidR="00862B23">
              <w:rPr>
                <w:iCs/>
              </w:rPr>
              <w:t xml:space="preserve"> zaduženje u iznosu od 960.710,45.EUR</w:t>
            </w:r>
            <w:r w:rsidR="00CA33DE">
              <w:rPr>
                <w:iCs/>
              </w:rPr>
              <w:t xml:space="preserve"> koje će se sukladno trenutnom razvoju situaci</w:t>
            </w:r>
            <w:r w:rsidR="001D21E5">
              <w:rPr>
                <w:iCs/>
              </w:rPr>
              <w:t>j</w:t>
            </w:r>
            <w:r w:rsidR="00CA33DE">
              <w:rPr>
                <w:iCs/>
              </w:rPr>
              <w:t>e ipak koristiti u 202</w:t>
            </w:r>
            <w:r w:rsidR="001D21E5">
              <w:rPr>
                <w:iCs/>
              </w:rPr>
              <w:t>3</w:t>
            </w:r>
            <w:r w:rsidR="00CA33DE">
              <w:rPr>
                <w:iCs/>
              </w:rPr>
              <w:t xml:space="preserve">. godini , </w:t>
            </w:r>
            <w:r w:rsidR="001D21E5">
              <w:rPr>
                <w:iCs/>
              </w:rPr>
              <w:t>a trenutno se nalazi i u planu za</w:t>
            </w:r>
            <w:r w:rsidR="00CA33DE">
              <w:rPr>
                <w:iCs/>
              </w:rPr>
              <w:t xml:space="preserve"> 2024.</w:t>
            </w:r>
            <w:r w:rsidR="001D21E5">
              <w:rPr>
                <w:iCs/>
              </w:rPr>
              <w:t xml:space="preserve"> godinu jer smo prilikom izrade plana za 2024. i proj</w:t>
            </w:r>
            <w:r w:rsidR="009147F0">
              <w:rPr>
                <w:iCs/>
              </w:rPr>
              <w:t>e</w:t>
            </w:r>
            <w:r w:rsidR="001D21E5">
              <w:rPr>
                <w:iCs/>
              </w:rPr>
              <w:t xml:space="preserve">kecija 2025.i 2026.godini imali saznanja da ćemo ga koristiti početkom </w:t>
            </w:r>
            <w:r w:rsidR="009147F0">
              <w:rPr>
                <w:iCs/>
              </w:rPr>
              <w:t>2024.</w:t>
            </w:r>
          </w:p>
        </w:tc>
      </w:tr>
    </w:tbl>
    <w:p w14:paraId="134706A5" w14:textId="77777777" w:rsidR="006A00D3" w:rsidRDefault="006A00D3" w:rsidP="005D1372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213"/>
        <w:gridCol w:w="814"/>
        <w:gridCol w:w="1491"/>
        <w:gridCol w:w="2346"/>
      </w:tblGrid>
      <w:tr w:rsidR="00FF2717" w:rsidRPr="005E3C13" w14:paraId="47E4AB45" w14:textId="77777777" w:rsidTr="00FF2717">
        <w:tc>
          <w:tcPr>
            <w:tcW w:w="2235" w:type="dxa"/>
            <w:shd w:val="clear" w:color="auto" w:fill="D9D9D9"/>
          </w:tcPr>
          <w:p w14:paraId="26D69AE5" w14:textId="77777777" w:rsidR="00FF2717" w:rsidRPr="003A3C1D" w:rsidRDefault="00FF2717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3100" w:type="dxa"/>
            <w:gridSpan w:val="2"/>
            <w:shd w:val="clear" w:color="auto" w:fill="auto"/>
          </w:tcPr>
          <w:p w14:paraId="12010A74" w14:textId="77777777" w:rsidR="00FF2717" w:rsidRPr="005E3C13" w:rsidRDefault="00FF27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programa</w:t>
            </w:r>
          </w:p>
        </w:tc>
        <w:tc>
          <w:tcPr>
            <w:tcW w:w="3953" w:type="dxa"/>
            <w:gridSpan w:val="2"/>
            <w:shd w:val="clear" w:color="auto" w:fill="auto"/>
          </w:tcPr>
          <w:p w14:paraId="4CFAADA7" w14:textId="77777777" w:rsidR="00FF2717" w:rsidRPr="005E3C13" w:rsidRDefault="00FF2717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programa</w:t>
            </w:r>
          </w:p>
        </w:tc>
      </w:tr>
      <w:tr w:rsidR="00FF2717" w:rsidRPr="003A3C1D" w14:paraId="7A14E49C" w14:textId="77777777" w:rsidTr="00FF2717">
        <w:tc>
          <w:tcPr>
            <w:tcW w:w="2235" w:type="dxa"/>
            <w:shd w:val="clear" w:color="auto" w:fill="D9D9D9"/>
          </w:tcPr>
          <w:p w14:paraId="2A8B5A79" w14:textId="77777777" w:rsidR="00FF2717" w:rsidRPr="003A3C1D" w:rsidRDefault="00FF27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7053" w:type="dxa"/>
            <w:gridSpan w:val="4"/>
            <w:shd w:val="clear" w:color="auto" w:fill="auto"/>
          </w:tcPr>
          <w:p w14:paraId="3F1A96B8" w14:textId="77777777" w:rsidR="00FF2717" w:rsidRPr="003A3C1D" w:rsidRDefault="00FF2717">
            <w:pPr>
              <w:jc w:val="both"/>
              <w:rPr>
                <w:bCs/>
                <w:color w:val="000000"/>
              </w:rPr>
            </w:pPr>
          </w:p>
        </w:tc>
      </w:tr>
      <w:tr w:rsidR="00FF2717" w:rsidRPr="00AC2C3E" w14:paraId="4BF4E1CC" w14:textId="77777777" w:rsidTr="00FF2717">
        <w:trPr>
          <w:trHeight w:val="218"/>
        </w:trPr>
        <w:tc>
          <w:tcPr>
            <w:tcW w:w="2235" w:type="dxa"/>
            <w:shd w:val="clear" w:color="auto" w:fill="F2F2F2"/>
          </w:tcPr>
          <w:p w14:paraId="0E9337BA" w14:textId="77777777" w:rsidR="00FF2717" w:rsidRPr="00AC2C3E" w:rsidRDefault="00FF2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Proračun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F2F2F2"/>
          </w:tcPr>
          <w:p w14:paraId="40CD8235" w14:textId="77777777" w:rsidR="00FF2717" w:rsidRPr="00AC2C3E" w:rsidRDefault="00FF2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I. Rebalans 202</w:t>
            </w: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76" w:type="dxa"/>
            <w:gridSpan w:val="2"/>
            <w:shd w:val="clear" w:color="auto" w:fill="F2F2F2"/>
          </w:tcPr>
          <w:p w14:paraId="27090877" w14:textId="77777777" w:rsidR="00FF2717" w:rsidRPr="00AC2C3E" w:rsidRDefault="00FF2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Iznos promjene</w:t>
            </w:r>
          </w:p>
        </w:tc>
        <w:tc>
          <w:tcPr>
            <w:tcW w:w="2409" w:type="dxa"/>
          </w:tcPr>
          <w:p w14:paraId="20969593" w14:textId="77777777" w:rsidR="00FF2717" w:rsidRPr="00AC2C3E" w:rsidRDefault="00FF2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I. Rebalans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F2717" w:rsidRPr="00B41766" w14:paraId="6C0165E9" w14:textId="77777777" w:rsidTr="00FF2717">
        <w:trPr>
          <w:trHeight w:val="2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2E32" w14:textId="77777777" w:rsidR="00FF2717" w:rsidRPr="00B41766" w:rsidRDefault="0059318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99.542,10</w:t>
            </w:r>
            <w:r w:rsidR="00FF2717">
              <w:rPr>
                <w:bCs/>
                <w:color w:val="000000"/>
              </w:rPr>
              <w:t>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AE6" w14:textId="77777777" w:rsidR="00FF2717" w:rsidRPr="00B41766" w:rsidRDefault="0059318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99.542,10</w:t>
            </w:r>
            <w:r w:rsidR="00FF2717">
              <w:rPr>
                <w:bCs/>
                <w:color w:val="000000"/>
              </w:rPr>
              <w:t>€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0F03" w14:textId="77777777" w:rsidR="00FF2717" w:rsidRPr="00B41766" w:rsidRDefault="00FF2717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€</w:t>
            </w:r>
          </w:p>
        </w:tc>
        <w:tc>
          <w:tcPr>
            <w:tcW w:w="2409" w:type="dxa"/>
          </w:tcPr>
          <w:p w14:paraId="37F5CE8A" w14:textId="77777777" w:rsidR="00FF2717" w:rsidRPr="00B41766" w:rsidRDefault="00593185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99.542,10</w:t>
            </w:r>
            <w:r w:rsidR="00FF2717">
              <w:rPr>
                <w:bCs/>
                <w:color w:val="000000"/>
              </w:rPr>
              <w:t>€</w:t>
            </w:r>
          </w:p>
        </w:tc>
      </w:tr>
    </w:tbl>
    <w:p w14:paraId="0CAF9D6C" w14:textId="77777777" w:rsidR="00420AD3" w:rsidRDefault="00420AD3" w:rsidP="00420AD3">
      <w:pPr>
        <w:rPr>
          <w:color w:val="FF0000"/>
        </w:rPr>
      </w:pPr>
    </w:p>
    <w:p w14:paraId="483702CA" w14:textId="77777777" w:rsidR="00420AD3" w:rsidRDefault="00420AD3" w:rsidP="00420AD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050"/>
        <w:gridCol w:w="928"/>
        <w:gridCol w:w="1999"/>
        <w:gridCol w:w="1394"/>
        <w:gridCol w:w="1966"/>
      </w:tblGrid>
      <w:tr w:rsidR="00420AD3" w:rsidRPr="00466EA6" w14:paraId="68B66F9C" w14:textId="77777777">
        <w:trPr>
          <w:trHeight w:val="651"/>
        </w:trPr>
        <w:tc>
          <w:tcPr>
            <w:tcW w:w="0" w:type="auto"/>
            <w:shd w:val="clear" w:color="auto" w:fill="D9D9D9"/>
          </w:tcPr>
          <w:p w14:paraId="0172CEF6" w14:textId="77777777" w:rsidR="00420AD3" w:rsidRPr="00AD6019" w:rsidRDefault="00420AD3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14:paraId="2C7A6319" w14:textId="77777777" w:rsidR="00420AD3" w:rsidRPr="00AD6019" w:rsidRDefault="00420AD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6E38849B" w14:textId="77777777" w:rsidR="00420AD3" w:rsidRPr="00AD6019" w:rsidRDefault="00420AD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09442171" w14:textId="77777777" w:rsidR="00420AD3" w:rsidRPr="00AD6019" w:rsidRDefault="00420AD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15C38FF2" w14:textId="77777777" w:rsidR="00420AD3" w:rsidRPr="00AD6019" w:rsidRDefault="00420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0A75EA9E" w14:textId="77777777" w:rsidR="00420AD3" w:rsidRPr="00AD6019" w:rsidRDefault="00420AD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420AD3" w14:paraId="61D23EB5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39E4A710" w14:textId="77777777" w:rsidR="00420AD3" w:rsidRPr="00156DB2" w:rsidRDefault="00420A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3E9E02A" w14:textId="77777777" w:rsidR="00420AD3" w:rsidRPr="00156DB2" w:rsidRDefault="00420A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E496C73" w14:textId="77777777" w:rsidR="00420AD3" w:rsidRPr="00156DB2" w:rsidRDefault="00420A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D22C4E" w14:textId="77777777" w:rsidR="00420AD3" w:rsidRPr="00156DB2" w:rsidRDefault="00420A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6FA6C79" w14:textId="77777777" w:rsidR="00420AD3" w:rsidRPr="00156DB2" w:rsidRDefault="00420A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0204A61" w14:textId="77777777" w:rsidR="00420AD3" w:rsidRPr="00156DB2" w:rsidRDefault="00420AD3">
            <w:pPr>
              <w:rPr>
                <w:sz w:val="22"/>
                <w:szCs w:val="22"/>
              </w:rPr>
            </w:pPr>
          </w:p>
        </w:tc>
      </w:tr>
      <w:tr w:rsidR="00420AD3" w14:paraId="154F7975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59BC8CEE" w14:textId="77777777" w:rsidR="00420AD3" w:rsidRPr="00156DB2" w:rsidRDefault="00420A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7764DF" w14:textId="77777777" w:rsidR="00420AD3" w:rsidRPr="00156DB2" w:rsidRDefault="00420A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C6593C1" w14:textId="77777777" w:rsidR="00420AD3" w:rsidRPr="00156DB2" w:rsidRDefault="00420A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FE23DA9" w14:textId="77777777" w:rsidR="00420AD3" w:rsidRPr="00156DB2" w:rsidRDefault="00420A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5646179" w14:textId="77777777" w:rsidR="00420AD3" w:rsidRPr="00156DB2" w:rsidRDefault="00420A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6FC3A26" w14:textId="77777777" w:rsidR="00420AD3" w:rsidRPr="00156DB2" w:rsidRDefault="00420AD3">
            <w:pPr>
              <w:rPr>
                <w:sz w:val="22"/>
                <w:szCs w:val="22"/>
              </w:rPr>
            </w:pPr>
          </w:p>
        </w:tc>
      </w:tr>
      <w:tr w:rsidR="00420AD3" w14:paraId="4C0AC516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24F33314" w14:textId="77777777" w:rsidR="00420AD3" w:rsidRPr="00156DB2" w:rsidRDefault="00420A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0FB5B3D" w14:textId="77777777" w:rsidR="00420AD3" w:rsidRPr="00156DB2" w:rsidRDefault="00420A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5E7E5E2" w14:textId="77777777" w:rsidR="00420AD3" w:rsidRPr="00156DB2" w:rsidRDefault="00420A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C6B0E2F" w14:textId="77777777" w:rsidR="00420AD3" w:rsidRPr="00156DB2" w:rsidRDefault="00420A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20BD6F4" w14:textId="77777777" w:rsidR="00420AD3" w:rsidRPr="00156DB2" w:rsidRDefault="00420A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B41F2C2" w14:textId="77777777" w:rsidR="00420AD3" w:rsidRPr="00156DB2" w:rsidRDefault="00420AD3">
            <w:pPr>
              <w:rPr>
                <w:sz w:val="22"/>
                <w:szCs w:val="22"/>
              </w:rPr>
            </w:pPr>
          </w:p>
        </w:tc>
      </w:tr>
    </w:tbl>
    <w:p w14:paraId="5437A7D8" w14:textId="77777777" w:rsidR="00420AD3" w:rsidRDefault="00420AD3" w:rsidP="00420AD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513"/>
        <w:gridCol w:w="5591"/>
      </w:tblGrid>
      <w:tr w:rsidR="00420AD3" w:rsidRPr="005E3C13" w14:paraId="41029CA8" w14:textId="77777777" w:rsidTr="00BA53B6">
        <w:trPr>
          <w:trHeight w:val="517"/>
        </w:trPr>
        <w:tc>
          <w:tcPr>
            <w:tcW w:w="1080" w:type="pct"/>
            <w:shd w:val="clear" w:color="auto" w:fill="D9D9D9"/>
          </w:tcPr>
          <w:p w14:paraId="762EF4EA" w14:textId="77777777" w:rsidR="00420AD3" w:rsidRPr="003A3C1D" w:rsidRDefault="00420AD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35" w:type="pct"/>
            <w:shd w:val="clear" w:color="auto" w:fill="auto"/>
          </w:tcPr>
          <w:p w14:paraId="0276A0FC" w14:textId="77777777" w:rsidR="00420AD3" w:rsidRDefault="00420A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14:paraId="1C0A8D49" w14:textId="77777777" w:rsidR="00420AD3" w:rsidRPr="005E3C13" w:rsidRDefault="00420AD3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  <w:r>
              <w:rPr>
                <w:b/>
                <w:bCs/>
                <w:color w:val="000000"/>
              </w:rPr>
              <w:t xml:space="preserve"> </w:t>
            </w:r>
            <w:r w:rsidR="00BA53B6">
              <w:rPr>
                <w:b/>
                <w:bCs/>
                <w:color w:val="000000"/>
              </w:rPr>
              <w:t>T400140</w:t>
            </w:r>
          </w:p>
        </w:tc>
        <w:tc>
          <w:tcPr>
            <w:tcW w:w="3084" w:type="pct"/>
            <w:shd w:val="clear" w:color="auto" w:fill="auto"/>
          </w:tcPr>
          <w:p w14:paraId="5BDAE3AA" w14:textId="77777777" w:rsidR="00420AD3" w:rsidRDefault="00420AD3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14:paraId="775CDFCC" w14:textId="77777777" w:rsidR="00420AD3" w:rsidRPr="005E3C13" w:rsidRDefault="00BA53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Erasmus + projekti</w:t>
            </w:r>
          </w:p>
        </w:tc>
      </w:tr>
      <w:tr w:rsidR="00420AD3" w:rsidRPr="0090601B" w14:paraId="4A1C55F1" w14:textId="77777777" w:rsidTr="00BA53B6">
        <w:trPr>
          <w:trHeight w:val="517"/>
        </w:trPr>
        <w:tc>
          <w:tcPr>
            <w:tcW w:w="1080" w:type="pct"/>
            <w:shd w:val="clear" w:color="auto" w:fill="D9D9D9"/>
          </w:tcPr>
          <w:p w14:paraId="1C40A323" w14:textId="77777777" w:rsidR="00420AD3" w:rsidRPr="003A3C1D" w:rsidRDefault="00420AD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20" w:type="pct"/>
            <w:gridSpan w:val="2"/>
            <w:shd w:val="clear" w:color="auto" w:fill="auto"/>
          </w:tcPr>
          <w:p w14:paraId="76BF41D7" w14:textId="77777777" w:rsidR="00420AD3" w:rsidRPr="0090601B" w:rsidRDefault="00420AD3">
            <w:pPr>
              <w:spacing w:after="14" w:line="276" w:lineRule="auto"/>
              <w:ind w:left="16"/>
              <w:rPr>
                <w:rFonts w:ascii="Verdana" w:hAnsi="Verdana" w:cs="Calibri"/>
                <w:color w:val="000000"/>
                <w:lang w:val="pl-PL"/>
              </w:rPr>
            </w:pPr>
            <w:r w:rsidRPr="0090601B">
              <w:rPr>
                <w:rFonts w:ascii="Verdana" w:hAnsi="Verdana" w:cs="Calibri"/>
                <w:color w:val="000000"/>
                <w:lang w:val="pl-PL"/>
              </w:rPr>
              <w:t xml:space="preserve"> </w:t>
            </w:r>
          </w:p>
          <w:p w14:paraId="224DC3ED" w14:textId="77777777" w:rsidR="00BA53B6" w:rsidRDefault="00BA53B6" w:rsidP="00BA53B6">
            <w:pPr>
              <w:rPr>
                <w:rFonts w:eastAsia="Symbol"/>
                <w:iCs/>
                <w:sz w:val="28"/>
                <w:szCs w:val="28"/>
                <w:lang w:val="pl-PL"/>
              </w:rPr>
            </w:pPr>
            <w:r w:rsidRPr="00CA1FD3">
              <w:rPr>
                <w:rFonts w:eastAsia="Symbol"/>
                <w:iCs/>
                <w:sz w:val="28"/>
                <w:szCs w:val="28"/>
                <w:lang w:val="pl-PL"/>
              </w:rPr>
              <w:t xml:space="preserve">Sporazum o </w:t>
            </w:r>
            <w:r>
              <w:rPr>
                <w:rFonts w:eastAsia="Symbol"/>
                <w:iCs/>
                <w:sz w:val="28"/>
                <w:szCs w:val="28"/>
                <w:lang w:val="pl-PL"/>
              </w:rPr>
              <w:t>dodjeli bespovratnih sredstava za Projekt Erasmus+ koji će biti potpisan sa Agencijom za mobilnost i programe EU. Kao nositelji Povelje za mobilnost u strukovnom obrazovanju i osposobljavanju, dužni smo realizirati projekte svaku godinu.</w:t>
            </w:r>
          </w:p>
          <w:p w14:paraId="1C622774" w14:textId="77777777" w:rsidR="00BA53B6" w:rsidRPr="00CA1FD3" w:rsidRDefault="00BA53B6" w:rsidP="00BA53B6">
            <w:pPr>
              <w:rPr>
                <w:rFonts w:eastAsia="Symbol"/>
                <w:iCs/>
                <w:sz w:val="28"/>
                <w:szCs w:val="28"/>
                <w:lang w:val="pl-PL"/>
              </w:rPr>
            </w:pPr>
          </w:p>
          <w:p w14:paraId="7C904422" w14:textId="77777777" w:rsidR="00BA53B6" w:rsidRDefault="00BA53B6" w:rsidP="00BA53B6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4592D8FE" w14:textId="77777777" w:rsidR="00420AD3" w:rsidRPr="0090601B" w:rsidRDefault="00420AD3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2D9B5FDE" w14:textId="77777777" w:rsidR="00420AD3" w:rsidRPr="0090601B" w:rsidRDefault="00420AD3">
            <w:pPr>
              <w:rPr>
                <w:rFonts w:eastAsia="Symbol"/>
                <w:iCs/>
                <w:color w:val="FF0000"/>
                <w:lang w:val="pl-PL"/>
              </w:rPr>
            </w:pPr>
          </w:p>
          <w:p w14:paraId="3CB98816" w14:textId="77777777" w:rsidR="00420AD3" w:rsidRPr="0090601B" w:rsidRDefault="00420AD3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34A695ED" w14:textId="77777777" w:rsidR="00420AD3" w:rsidRPr="0090601B" w:rsidRDefault="00420AD3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75D26815" w14:textId="77777777" w:rsidR="00420AD3" w:rsidRPr="0090601B" w:rsidRDefault="00420AD3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23EFD64E" w14:textId="77777777" w:rsidR="00420AD3" w:rsidRPr="0090601B" w:rsidRDefault="00420AD3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42FD3EBC" w14:textId="77777777" w:rsidR="00420AD3" w:rsidRPr="0090601B" w:rsidRDefault="00420AD3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085C8851" w14:textId="77777777" w:rsidR="00420AD3" w:rsidRPr="0090601B" w:rsidRDefault="00420AD3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60E652FB" w14:textId="77777777" w:rsidR="00420AD3" w:rsidRPr="0090601B" w:rsidRDefault="00420AD3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7F0A52ED" w14:textId="77777777" w:rsidR="00420AD3" w:rsidRPr="0090601B" w:rsidRDefault="00420AD3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420AD3" w:rsidRPr="003A3C1D" w14:paraId="6B9BC298" w14:textId="77777777" w:rsidTr="00BA53B6">
        <w:trPr>
          <w:trHeight w:val="257"/>
        </w:trPr>
        <w:tc>
          <w:tcPr>
            <w:tcW w:w="1080" w:type="pct"/>
            <w:shd w:val="clear" w:color="auto" w:fill="D9D9D9"/>
          </w:tcPr>
          <w:p w14:paraId="3C19E487" w14:textId="77777777" w:rsidR="00420AD3" w:rsidRPr="003A3C1D" w:rsidRDefault="00420AD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lastRenderedPageBreak/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20" w:type="pct"/>
            <w:gridSpan w:val="2"/>
            <w:shd w:val="clear" w:color="auto" w:fill="auto"/>
          </w:tcPr>
          <w:p w14:paraId="4860F10D" w14:textId="77777777" w:rsidR="00420AD3" w:rsidRDefault="00420AD3">
            <w:pPr>
              <w:jc w:val="both"/>
              <w:rPr>
                <w:bCs/>
                <w:color w:val="000000"/>
              </w:rPr>
            </w:pPr>
          </w:p>
          <w:p w14:paraId="4A0C49AD" w14:textId="77777777" w:rsidR="008A5220" w:rsidRDefault="008A5220" w:rsidP="008A5220">
            <w:pPr>
              <w:rPr>
                <w:rFonts w:eastAsia="Symbol"/>
                <w:iCs/>
                <w:sz w:val="28"/>
                <w:szCs w:val="28"/>
                <w:lang w:val="pl-PL"/>
              </w:rPr>
            </w:pPr>
            <w:r w:rsidRPr="00CA1FD3">
              <w:rPr>
                <w:rFonts w:eastAsia="Symbol"/>
                <w:iCs/>
                <w:sz w:val="28"/>
                <w:szCs w:val="28"/>
                <w:lang w:val="pl-PL"/>
              </w:rPr>
              <w:t xml:space="preserve">Sporazum o </w:t>
            </w:r>
            <w:r>
              <w:rPr>
                <w:rFonts w:eastAsia="Symbol"/>
                <w:iCs/>
                <w:sz w:val="28"/>
                <w:szCs w:val="28"/>
                <w:lang w:val="pl-PL"/>
              </w:rPr>
              <w:t>dodjeli bespovratnih sredstava za Projekt Erasmus+ koji će biti potpisan sa Agencijom za mobilnost i programe EU. Kao nositelji Povelje za mobilnost u strukovnom obrazovanju i osposobljavanju, dužni smo realizirati projekte svaku godinu.</w:t>
            </w:r>
          </w:p>
          <w:p w14:paraId="54735667" w14:textId="77777777" w:rsidR="00420AD3" w:rsidRPr="008A5220" w:rsidRDefault="00420AD3">
            <w:pPr>
              <w:jc w:val="both"/>
              <w:rPr>
                <w:bCs/>
                <w:color w:val="000000"/>
                <w:lang w:val="pl-PL"/>
              </w:rPr>
            </w:pPr>
          </w:p>
          <w:p w14:paraId="67C67E1D" w14:textId="77777777" w:rsidR="00420AD3" w:rsidRDefault="00420AD3">
            <w:pPr>
              <w:jc w:val="both"/>
              <w:rPr>
                <w:bCs/>
                <w:color w:val="000000"/>
              </w:rPr>
            </w:pPr>
          </w:p>
          <w:p w14:paraId="44E1106D" w14:textId="77777777" w:rsidR="00420AD3" w:rsidRDefault="00420AD3">
            <w:pPr>
              <w:jc w:val="both"/>
              <w:rPr>
                <w:bCs/>
                <w:color w:val="000000"/>
              </w:rPr>
            </w:pPr>
          </w:p>
          <w:p w14:paraId="09400309" w14:textId="77777777" w:rsidR="00420AD3" w:rsidRDefault="00420AD3">
            <w:pPr>
              <w:jc w:val="both"/>
              <w:rPr>
                <w:bCs/>
                <w:color w:val="000000"/>
              </w:rPr>
            </w:pPr>
          </w:p>
          <w:p w14:paraId="77C13726" w14:textId="77777777" w:rsidR="00420AD3" w:rsidRDefault="00420AD3">
            <w:pPr>
              <w:jc w:val="both"/>
              <w:rPr>
                <w:bCs/>
                <w:color w:val="000000"/>
              </w:rPr>
            </w:pPr>
          </w:p>
          <w:p w14:paraId="4A6DA690" w14:textId="77777777" w:rsidR="00420AD3" w:rsidRPr="003A3C1D" w:rsidRDefault="00420AD3">
            <w:pPr>
              <w:jc w:val="both"/>
              <w:rPr>
                <w:bCs/>
                <w:color w:val="000000"/>
              </w:rPr>
            </w:pPr>
          </w:p>
        </w:tc>
      </w:tr>
      <w:tr w:rsidR="00BA53B6" w:rsidRPr="002808EC" w14:paraId="1EFE51CD" w14:textId="77777777" w:rsidTr="00BA53B6">
        <w:trPr>
          <w:trHeight w:val="257"/>
        </w:trPr>
        <w:tc>
          <w:tcPr>
            <w:tcW w:w="1080" w:type="pct"/>
            <w:shd w:val="clear" w:color="auto" w:fill="D9D9D9"/>
          </w:tcPr>
          <w:p w14:paraId="51852AB8" w14:textId="77777777" w:rsidR="00BA53B6" w:rsidRPr="003A3C1D" w:rsidRDefault="00BA53B6" w:rsidP="00BA53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920" w:type="pct"/>
            <w:gridSpan w:val="2"/>
            <w:shd w:val="clear" w:color="auto" w:fill="auto"/>
          </w:tcPr>
          <w:p w14:paraId="7CC4A517" w14:textId="77777777" w:rsidR="00BA53B6" w:rsidRPr="002808EC" w:rsidRDefault="00BA53B6" w:rsidP="00BA53B6">
            <w:pPr>
              <w:jc w:val="both"/>
              <w:rPr>
                <w:iCs/>
              </w:rPr>
            </w:pPr>
            <w:r>
              <w:rPr>
                <w:iCs/>
              </w:rPr>
              <w:t>Sredstva su planirana tenmelj</w:t>
            </w:r>
            <w:r w:rsidR="004F42BE">
              <w:rPr>
                <w:iCs/>
              </w:rPr>
              <w:t>em</w:t>
            </w:r>
            <w:r>
              <w:rPr>
                <w:iCs/>
              </w:rPr>
              <w:t xml:space="preserve"> primljenih u </w:t>
            </w:r>
            <w:r w:rsidR="004F42BE">
              <w:rPr>
                <w:iCs/>
              </w:rPr>
              <w:t xml:space="preserve">prethodnom razdoblju </w:t>
            </w:r>
            <w:r>
              <w:rPr>
                <w:iCs/>
              </w:rPr>
              <w:t xml:space="preserve"> kao nosiocu Erasmus akreditacije u području strukovnog obrazovanja i osposobljavanja sa datumom valjanosti 31.12.2027.godine</w:t>
            </w:r>
          </w:p>
        </w:tc>
      </w:tr>
    </w:tbl>
    <w:p w14:paraId="1D94F56C" w14:textId="77777777" w:rsidR="00420AD3" w:rsidRDefault="00420AD3" w:rsidP="00420AD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213"/>
        <w:gridCol w:w="812"/>
        <w:gridCol w:w="1506"/>
        <w:gridCol w:w="2351"/>
      </w:tblGrid>
      <w:tr w:rsidR="00FF2717" w:rsidRPr="005E3C13" w14:paraId="60C5C22C" w14:textId="77777777" w:rsidTr="00FF2717">
        <w:tc>
          <w:tcPr>
            <w:tcW w:w="1203" w:type="pct"/>
            <w:shd w:val="clear" w:color="auto" w:fill="D9D9D9"/>
          </w:tcPr>
          <w:p w14:paraId="769802CD" w14:textId="77777777" w:rsidR="00FF2717" w:rsidRPr="003A3C1D" w:rsidRDefault="00FF2717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1669" w:type="pct"/>
            <w:gridSpan w:val="2"/>
            <w:shd w:val="clear" w:color="auto" w:fill="auto"/>
          </w:tcPr>
          <w:p w14:paraId="40B0791E" w14:textId="77777777" w:rsidR="00FF2717" w:rsidRPr="005E3C13" w:rsidRDefault="00FF27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programa</w:t>
            </w:r>
          </w:p>
        </w:tc>
        <w:tc>
          <w:tcPr>
            <w:tcW w:w="2128" w:type="pct"/>
            <w:gridSpan w:val="2"/>
            <w:shd w:val="clear" w:color="auto" w:fill="auto"/>
          </w:tcPr>
          <w:p w14:paraId="4D235D79" w14:textId="77777777" w:rsidR="00FF2717" w:rsidRPr="005E3C13" w:rsidRDefault="00FF2717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programa</w:t>
            </w:r>
          </w:p>
        </w:tc>
      </w:tr>
      <w:tr w:rsidR="00FF2717" w:rsidRPr="003A3C1D" w14:paraId="0C7E7C7E" w14:textId="77777777" w:rsidTr="00FF2717">
        <w:tc>
          <w:tcPr>
            <w:tcW w:w="1203" w:type="pct"/>
            <w:shd w:val="clear" w:color="auto" w:fill="D9D9D9"/>
          </w:tcPr>
          <w:p w14:paraId="1DB6FC4F" w14:textId="77777777" w:rsidR="00FF2717" w:rsidRPr="003A3C1D" w:rsidRDefault="00FF27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3797" w:type="pct"/>
            <w:gridSpan w:val="4"/>
            <w:shd w:val="clear" w:color="auto" w:fill="auto"/>
          </w:tcPr>
          <w:p w14:paraId="0FFA32E0" w14:textId="77777777" w:rsidR="00FF2717" w:rsidRPr="003A3C1D" w:rsidRDefault="00FF2717">
            <w:pPr>
              <w:jc w:val="both"/>
              <w:rPr>
                <w:bCs/>
                <w:color w:val="000000"/>
              </w:rPr>
            </w:pPr>
          </w:p>
        </w:tc>
      </w:tr>
      <w:tr w:rsidR="00FF2717" w:rsidRPr="00AC2C3E" w14:paraId="60F6A7B0" w14:textId="77777777" w:rsidTr="00FF2717">
        <w:trPr>
          <w:trHeight w:val="218"/>
        </w:trPr>
        <w:tc>
          <w:tcPr>
            <w:tcW w:w="1203" w:type="pct"/>
            <w:shd w:val="clear" w:color="auto" w:fill="F2F2F2"/>
          </w:tcPr>
          <w:p w14:paraId="6B7A9B54" w14:textId="77777777" w:rsidR="00FF2717" w:rsidRPr="00AC2C3E" w:rsidRDefault="00FF2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Proračun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21" w:type="pct"/>
            <w:shd w:val="clear" w:color="auto" w:fill="F2F2F2"/>
          </w:tcPr>
          <w:p w14:paraId="59A5D023" w14:textId="77777777" w:rsidR="00FF2717" w:rsidRPr="00AC2C3E" w:rsidRDefault="00FF2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I. Rebalans 202</w:t>
            </w: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79" w:type="pct"/>
            <w:gridSpan w:val="2"/>
            <w:shd w:val="clear" w:color="auto" w:fill="F2F2F2"/>
          </w:tcPr>
          <w:p w14:paraId="492EBAD6" w14:textId="77777777" w:rsidR="00FF2717" w:rsidRPr="00AC2C3E" w:rsidRDefault="00FF2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Iznos promjene</w:t>
            </w:r>
          </w:p>
        </w:tc>
        <w:tc>
          <w:tcPr>
            <w:tcW w:w="1297" w:type="pct"/>
          </w:tcPr>
          <w:p w14:paraId="20C281B4" w14:textId="77777777" w:rsidR="00FF2717" w:rsidRPr="00AC2C3E" w:rsidRDefault="00FF2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I. Rebalans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F2717" w:rsidRPr="00B41766" w14:paraId="3EFF0E2F" w14:textId="77777777" w:rsidTr="00FF2717">
        <w:trPr>
          <w:trHeight w:val="218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E7D9" w14:textId="77777777" w:rsidR="00FF2717" w:rsidRPr="00B41766" w:rsidRDefault="0061278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  <w:r w:rsidR="00FF2717">
              <w:rPr>
                <w:bCs/>
                <w:color w:val="000000"/>
              </w:rPr>
              <w:t>€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52AA" w14:textId="77777777" w:rsidR="00FF2717" w:rsidRPr="00B41766" w:rsidRDefault="0059318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663,10</w:t>
            </w:r>
            <w:r w:rsidR="00FF2717">
              <w:rPr>
                <w:bCs/>
                <w:color w:val="000000"/>
              </w:rPr>
              <w:t>€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0DB7" w14:textId="77777777" w:rsidR="00FF2717" w:rsidRPr="00B41766" w:rsidRDefault="00593185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664,00</w:t>
            </w:r>
            <w:r w:rsidR="00FF2717">
              <w:rPr>
                <w:bCs/>
                <w:color w:val="000000"/>
              </w:rPr>
              <w:t>€</w:t>
            </w:r>
          </w:p>
        </w:tc>
        <w:tc>
          <w:tcPr>
            <w:tcW w:w="1297" w:type="pct"/>
          </w:tcPr>
          <w:p w14:paraId="43E4E3AC" w14:textId="77777777" w:rsidR="00FF2717" w:rsidRPr="00B41766" w:rsidRDefault="00593185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1</w:t>
            </w:r>
            <w:r w:rsidR="0061278C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327,61</w:t>
            </w:r>
            <w:r w:rsidR="00FF2717">
              <w:rPr>
                <w:bCs/>
                <w:color w:val="000000"/>
              </w:rPr>
              <w:t>€</w:t>
            </w:r>
          </w:p>
        </w:tc>
      </w:tr>
    </w:tbl>
    <w:p w14:paraId="59CFF811" w14:textId="77777777" w:rsidR="00AD1542" w:rsidRDefault="00AD1542" w:rsidP="00AD1542">
      <w:pPr>
        <w:rPr>
          <w:color w:val="FF0000"/>
        </w:rPr>
      </w:pPr>
    </w:p>
    <w:p w14:paraId="1A6C7999" w14:textId="77777777" w:rsidR="00AD1542" w:rsidRDefault="00AD1542" w:rsidP="00AD1542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050"/>
        <w:gridCol w:w="928"/>
        <w:gridCol w:w="1999"/>
        <w:gridCol w:w="1394"/>
        <w:gridCol w:w="1966"/>
      </w:tblGrid>
      <w:tr w:rsidR="00AD1542" w:rsidRPr="00466EA6" w14:paraId="591FC537" w14:textId="77777777">
        <w:trPr>
          <w:trHeight w:val="651"/>
        </w:trPr>
        <w:tc>
          <w:tcPr>
            <w:tcW w:w="0" w:type="auto"/>
            <w:shd w:val="clear" w:color="auto" w:fill="D9D9D9"/>
          </w:tcPr>
          <w:p w14:paraId="4E8198C1" w14:textId="77777777" w:rsidR="00AD1542" w:rsidRPr="00AD6019" w:rsidRDefault="00AD1542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14:paraId="5CCE0A77" w14:textId="77777777" w:rsidR="00AD1542" w:rsidRPr="00AD6019" w:rsidRDefault="00AD1542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677455B7" w14:textId="77777777" w:rsidR="00AD1542" w:rsidRPr="00AD6019" w:rsidRDefault="00AD1542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75092931" w14:textId="77777777" w:rsidR="00AD1542" w:rsidRPr="00AD6019" w:rsidRDefault="00AD1542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7B7E2339" w14:textId="77777777" w:rsidR="00AD1542" w:rsidRPr="00AD6019" w:rsidRDefault="00AD1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311A4D99" w14:textId="77777777" w:rsidR="00AD1542" w:rsidRPr="00AD6019" w:rsidRDefault="00AD1542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AD1542" w14:paraId="3BD78559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32DDB8A1" w14:textId="77777777" w:rsidR="00AD1542" w:rsidRPr="00156DB2" w:rsidRDefault="00AD15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F00D6AB" w14:textId="77777777" w:rsidR="00AD1542" w:rsidRPr="00156DB2" w:rsidRDefault="00AD15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E386AAF" w14:textId="77777777" w:rsidR="00AD1542" w:rsidRPr="00156DB2" w:rsidRDefault="00AD15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561B27D" w14:textId="77777777" w:rsidR="00AD1542" w:rsidRPr="00156DB2" w:rsidRDefault="00AD15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0092301" w14:textId="77777777" w:rsidR="00AD1542" w:rsidRPr="00156DB2" w:rsidRDefault="00AD15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9909CAD" w14:textId="77777777" w:rsidR="00AD1542" w:rsidRPr="00156DB2" w:rsidRDefault="00AD1542">
            <w:pPr>
              <w:rPr>
                <w:sz w:val="22"/>
                <w:szCs w:val="22"/>
              </w:rPr>
            </w:pPr>
          </w:p>
        </w:tc>
      </w:tr>
      <w:tr w:rsidR="00AD1542" w14:paraId="402A341E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56236931" w14:textId="77777777" w:rsidR="00AD1542" w:rsidRPr="00156DB2" w:rsidRDefault="00AD15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787700B" w14:textId="77777777" w:rsidR="00AD1542" w:rsidRPr="00156DB2" w:rsidRDefault="00AD15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1E21769" w14:textId="77777777" w:rsidR="00AD1542" w:rsidRPr="00156DB2" w:rsidRDefault="00AD15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A8E093" w14:textId="77777777" w:rsidR="00AD1542" w:rsidRPr="00156DB2" w:rsidRDefault="00AD15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EBC418A" w14:textId="77777777" w:rsidR="00AD1542" w:rsidRPr="00156DB2" w:rsidRDefault="00AD15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72B38AE" w14:textId="77777777" w:rsidR="00AD1542" w:rsidRPr="00156DB2" w:rsidRDefault="00AD1542">
            <w:pPr>
              <w:rPr>
                <w:sz w:val="22"/>
                <w:szCs w:val="22"/>
              </w:rPr>
            </w:pPr>
          </w:p>
        </w:tc>
      </w:tr>
      <w:tr w:rsidR="00AD1542" w14:paraId="006031DB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2E1E32A0" w14:textId="77777777" w:rsidR="00AD1542" w:rsidRPr="00156DB2" w:rsidRDefault="00AD15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788E1CA" w14:textId="77777777" w:rsidR="00AD1542" w:rsidRPr="00156DB2" w:rsidRDefault="00AD15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94AEF08" w14:textId="77777777" w:rsidR="00AD1542" w:rsidRPr="00156DB2" w:rsidRDefault="00AD15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AC0C7EC" w14:textId="77777777" w:rsidR="00AD1542" w:rsidRPr="00156DB2" w:rsidRDefault="00AD15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0C25D30" w14:textId="77777777" w:rsidR="00AD1542" w:rsidRPr="00156DB2" w:rsidRDefault="00AD15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7DB39B" w14:textId="77777777" w:rsidR="00AD1542" w:rsidRPr="00156DB2" w:rsidRDefault="00AD1542">
            <w:pPr>
              <w:rPr>
                <w:sz w:val="22"/>
                <w:szCs w:val="22"/>
              </w:rPr>
            </w:pPr>
          </w:p>
        </w:tc>
      </w:tr>
    </w:tbl>
    <w:p w14:paraId="05654B4B" w14:textId="77777777" w:rsidR="00AD1542" w:rsidRDefault="00AD1542" w:rsidP="00AD1542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513"/>
        <w:gridCol w:w="5591"/>
      </w:tblGrid>
      <w:tr w:rsidR="00AD1542" w:rsidRPr="005E3C13" w14:paraId="2F5BE562" w14:textId="77777777">
        <w:trPr>
          <w:trHeight w:val="517"/>
        </w:trPr>
        <w:tc>
          <w:tcPr>
            <w:tcW w:w="1080" w:type="pct"/>
            <w:shd w:val="clear" w:color="auto" w:fill="D9D9D9"/>
          </w:tcPr>
          <w:p w14:paraId="1A064096" w14:textId="77777777" w:rsidR="00AD1542" w:rsidRPr="003A3C1D" w:rsidRDefault="00AD154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35" w:type="pct"/>
            <w:shd w:val="clear" w:color="auto" w:fill="auto"/>
          </w:tcPr>
          <w:p w14:paraId="7CE86F26" w14:textId="77777777" w:rsidR="00AD1542" w:rsidRDefault="00AD15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14:paraId="7BFD08B6" w14:textId="77777777" w:rsidR="00AD1542" w:rsidRPr="005E3C13" w:rsidRDefault="00AD154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  <w:r>
              <w:rPr>
                <w:b/>
                <w:bCs/>
                <w:color w:val="000000"/>
              </w:rPr>
              <w:t xml:space="preserve"> T4001</w:t>
            </w:r>
            <w:r w:rsidR="00CC4770">
              <w:rPr>
                <w:b/>
                <w:bCs/>
                <w:color w:val="000000"/>
              </w:rPr>
              <w:t>03</w:t>
            </w:r>
          </w:p>
        </w:tc>
        <w:tc>
          <w:tcPr>
            <w:tcW w:w="3084" w:type="pct"/>
            <w:shd w:val="clear" w:color="auto" w:fill="auto"/>
          </w:tcPr>
          <w:p w14:paraId="3544391C" w14:textId="77777777" w:rsidR="00AD1542" w:rsidRDefault="00AD154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14:paraId="154FBEEA" w14:textId="77777777" w:rsidR="00AD1542" w:rsidRPr="005E3C13" w:rsidRDefault="00CC477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CI SDŽ – nositelj programa Čuvari baštine</w:t>
            </w:r>
          </w:p>
        </w:tc>
      </w:tr>
      <w:tr w:rsidR="00AD1542" w:rsidRPr="0090601B" w14:paraId="78777587" w14:textId="77777777">
        <w:trPr>
          <w:trHeight w:val="517"/>
        </w:trPr>
        <w:tc>
          <w:tcPr>
            <w:tcW w:w="1080" w:type="pct"/>
            <w:shd w:val="clear" w:color="auto" w:fill="D9D9D9"/>
          </w:tcPr>
          <w:p w14:paraId="737BBA4A" w14:textId="77777777" w:rsidR="00AD1542" w:rsidRPr="003A3C1D" w:rsidRDefault="00AD154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20" w:type="pct"/>
            <w:gridSpan w:val="2"/>
            <w:shd w:val="clear" w:color="auto" w:fill="auto"/>
          </w:tcPr>
          <w:p w14:paraId="6CA692FB" w14:textId="77777777" w:rsidR="00AD1542" w:rsidRPr="0090601B" w:rsidRDefault="00AD1542">
            <w:pPr>
              <w:spacing w:after="14" w:line="276" w:lineRule="auto"/>
              <w:ind w:left="16"/>
              <w:rPr>
                <w:rFonts w:ascii="Verdana" w:hAnsi="Verdana" w:cs="Calibri"/>
                <w:color w:val="000000"/>
                <w:lang w:val="pl-PL"/>
              </w:rPr>
            </w:pPr>
            <w:r w:rsidRPr="0090601B">
              <w:rPr>
                <w:rFonts w:ascii="Verdana" w:hAnsi="Verdana" w:cs="Calibri"/>
                <w:color w:val="000000"/>
                <w:lang w:val="pl-PL"/>
              </w:rPr>
              <w:t xml:space="preserve"> </w:t>
            </w:r>
          </w:p>
          <w:p w14:paraId="4D6188D1" w14:textId="77777777" w:rsidR="00AD1542" w:rsidRDefault="00F75370">
            <w:pPr>
              <w:rPr>
                <w:rFonts w:eastAsia="Symbol"/>
                <w:iCs/>
                <w:sz w:val="28"/>
                <w:szCs w:val="28"/>
                <w:lang w:val="pl-PL"/>
              </w:rPr>
            </w:pPr>
            <w:r>
              <w:rPr>
                <w:rFonts w:eastAsia="Symbol"/>
                <w:iCs/>
                <w:sz w:val="28"/>
                <w:szCs w:val="28"/>
                <w:lang w:val="pl-PL"/>
              </w:rPr>
              <w:t xml:space="preserve">Ugovor o suradnji u provedbi projekta „Čuvari baštine” u sklopu programa centra izvrsnosti i baštine </w:t>
            </w:r>
          </w:p>
          <w:p w14:paraId="31CA877A" w14:textId="77777777" w:rsidR="003B0822" w:rsidRDefault="003B0822">
            <w:pPr>
              <w:rPr>
                <w:rFonts w:eastAsia="Symbol"/>
                <w:iCs/>
                <w:sz w:val="28"/>
                <w:szCs w:val="28"/>
                <w:lang w:val="pl-PL"/>
              </w:rPr>
            </w:pPr>
            <w:r>
              <w:rPr>
                <w:rFonts w:eastAsia="Symbol"/>
                <w:iCs/>
                <w:sz w:val="28"/>
                <w:szCs w:val="28"/>
                <w:lang w:val="pl-PL"/>
              </w:rPr>
              <w:t>Br.ugovora 37/2022 KLASA:401-03/22-02/60</w:t>
            </w:r>
          </w:p>
          <w:p w14:paraId="41BC2D16" w14:textId="77777777" w:rsidR="003B0822" w:rsidRPr="00CA1FD3" w:rsidRDefault="003B0822">
            <w:pPr>
              <w:rPr>
                <w:rFonts w:eastAsia="Symbol"/>
                <w:iCs/>
                <w:sz w:val="28"/>
                <w:szCs w:val="28"/>
                <w:lang w:val="pl-PL"/>
              </w:rPr>
            </w:pPr>
            <w:r>
              <w:rPr>
                <w:rFonts w:eastAsia="Symbol"/>
                <w:iCs/>
                <w:sz w:val="28"/>
                <w:szCs w:val="28"/>
                <w:lang w:val="pl-PL"/>
              </w:rPr>
              <w:t>UR.BROJ:2181-336-22-01-1</w:t>
            </w:r>
          </w:p>
          <w:p w14:paraId="6B1A6FB2" w14:textId="77777777" w:rsidR="00FC1948" w:rsidRDefault="00FC1948" w:rsidP="00FC1948">
            <w:pPr>
              <w:rPr>
                <w:rFonts w:eastAsia="Symbol"/>
                <w:iCs/>
                <w:sz w:val="28"/>
                <w:szCs w:val="28"/>
                <w:lang w:val="pl-PL"/>
              </w:rPr>
            </w:pPr>
            <w:r>
              <w:rPr>
                <w:rFonts w:eastAsia="Symbol"/>
                <w:iCs/>
                <w:sz w:val="28"/>
                <w:szCs w:val="28"/>
                <w:lang w:val="pl-PL"/>
              </w:rPr>
              <w:t>Ugovor o suradnji u provedbi projekta „Čuvari baštine” u sklopu programa Centra i</w:t>
            </w:r>
            <w:r w:rsidR="00BD5CC4">
              <w:rPr>
                <w:rFonts w:eastAsia="Symbol"/>
                <w:iCs/>
                <w:sz w:val="28"/>
                <w:szCs w:val="28"/>
                <w:lang w:val="pl-PL"/>
              </w:rPr>
              <w:t>z</w:t>
            </w:r>
            <w:r>
              <w:rPr>
                <w:rFonts w:eastAsia="Symbol"/>
                <w:iCs/>
                <w:sz w:val="28"/>
                <w:szCs w:val="28"/>
                <w:lang w:val="pl-PL"/>
              </w:rPr>
              <w:t xml:space="preserve">vrsnosti i baštine </w:t>
            </w:r>
          </w:p>
          <w:p w14:paraId="703BDD2C" w14:textId="77777777" w:rsidR="00FC1948" w:rsidRPr="00CA1FD3" w:rsidRDefault="00FC1948" w:rsidP="00FC1948">
            <w:pPr>
              <w:rPr>
                <w:rFonts w:eastAsia="Symbol"/>
                <w:iCs/>
                <w:sz w:val="28"/>
                <w:szCs w:val="28"/>
                <w:lang w:val="pl-PL"/>
              </w:rPr>
            </w:pPr>
            <w:r>
              <w:rPr>
                <w:rFonts w:eastAsia="Symbol"/>
                <w:iCs/>
                <w:sz w:val="28"/>
                <w:szCs w:val="28"/>
                <w:lang w:val="pl-PL"/>
              </w:rPr>
              <w:t>KLASA:401-03/2</w:t>
            </w:r>
            <w:r w:rsidR="00BD5CC4">
              <w:rPr>
                <w:rFonts w:eastAsia="Symbol"/>
                <w:iCs/>
                <w:sz w:val="28"/>
                <w:szCs w:val="28"/>
                <w:lang w:val="pl-PL"/>
              </w:rPr>
              <w:t>3</w:t>
            </w:r>
            <w:r>
              <w:rPr>
                <w:rFonts w:eastAsia="Symbol"/>
                <w:iCs/>
                <w:sz w:val="28"/>
                <w:szCs w:val="28"/>
                <w:lang w:val="pl-PL"/>
              </w:rPr>
              <w:t>-02/6</w:t>
            </w:r>
            <w:r w:rsidR="00BD5CC4">
              <w:rPr>
                <w:rFonts w:eastAsia="Symbol"/>
                <w:iCs/>
                <w:sz w:val="28"/>
                <w:szCs w:val="28"/>
                <w:lang w:val="pl-PL"/>
              </w:rPr>
              <w:t>5 UR BROJ 2181-336-23-01</w:t>
            </w:r>
          </w:p>
          <w:p w14:paraId="43A0D533" w14:textId="77777777" w:rsidR="00AD1542" w:rsidRDefault="00AD1542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0C1FD4E1" w14:textId="77777777" w:rsidR="00AD1542" w:rsidRPr="0090601B" w:rsidRDefault="00AD1542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3C367CED" w14:textId="77777777" w:rsidR="00AD1542" w:rsidRPr="0090601B" w:rsidRDefault="00AD1542">
            <w:pPr>
              <w:rPr>
                <w:rFonts w:eastAsia="Symbol"/>
                <w:iCs/>
                <w:color w:val="FF0000"/>
                <w:lang w:val="pl-PL"/>
              </w:rPr>
            </w:pPr>
          </w:p>
          <w:p w14:paraId="11636AFD" w14:textId="77777777" w:rsidR="00AD1542" w:rsidRPr="0090601B" w:rsidRDefault="00AD1542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2E0C2C0D" w14:textId="77777777" w:rsidR="00AD1542" w:rsidRPr="0090601B" w:rsidRDefault="00AD1542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2402B4C8" w14:textId="77777777" w:rsidR="00AD1542" w:rsidRPr="0090601B" w:rsidRDefault="00AD1542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16DE3021" w14:textId="77777777" w:rsidR="00AD1542" w:rsidRPr="0090601B" w:rsidRDefault="00AD1542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64E922CD" w14:textId="77777777" w:rsidR="00AD1542" w:rsidRPr="0090601B" w:rsidRDefault="00AD1542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5EE8F0E1" w14:textId="77777777" w:rsidR="00AD1542" w:rsidRPr="0090601B" w:rsidRDefault="00AD1542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296DE2D9" w14:textId="77777777" w:rsidR="00AD1542" w:rsidRPr="0090601B" w:rsidRDefault="00AD1542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77A46304" w14:textId="77777777" w:rsidR="00AD1542" w:rsidRPr="0090601B" w:rsidRDefault="00AD1542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AD1542" w:rsidRPr="003A3C1D" w14:paraId="55C030B3" w14:textId="77777777">
        <w:trPr>
          <w:trHeight w:val="257"/>
        </w:trPr>
        <w:tc>
          <w:tcPr>
            <w:tcW w:w="1080" w:type="pct"/>
            <w:shd w:val="clear" w:color="auto" w:fill="D9D9D9"/>
          </w:tcPr>
          <w:p w14:paraId="19E4BD99" w14:textId="77777777" w:rsidR="00AD1542" w:rsidRPr="003A3C1D" w:rsidRDefault="00AD154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lastRenderedPageBreak/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20" w:type="pct"/>
            <w:gridSpan w:val="2"/>
            <w:shd w:val="clear" w:color="auto" w:fill="auto"/>
          </w:tcPr>
          <w:p w14:paraId="774A4C4D" w14:textId="77777777" w:rsidR="00AD1542" w:rsidRDefault="00AD1542">
            <w:pPr>
              <w:jc w:val="both"/>
              <w:rPr>
                <w:bCs/>
                <w:color w:val="000000"/>
              </w:rPr>
            </w:pPr>
          </w:p>
          <w:p w14:paraId="785E2F3D" w14:textId="77777777" w:rsidR="00AD1542" w:rsidRDefault="00DC0E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Razvijanje inovativnosti, kreativnosti, kritičkog mišljenja, informacijske i digitalne pismenosti</w:t>
            </w:r>
          </w:p>
          <w:p w14:paraId="50472E5F" w14:textId="77777777" w:rsidR="00AD1542" w:rsidRDefault="00AD1542">
            <w:pPr>
              <w:jc w:val="both"/>
              <w:rPr>
                <w:bCs/>
                <w:color w:val="000000"/>
              </w:rPr>
            </w:pPr>
          </w:p>
          <w:p w14:paraId="55CACC0D" w14:textId="77777777" w:rsidR="00AD1542" w:rsidRDefault="00AD1542">
            <w:pPr>
              <w:jc w:val="both"/>
              <w:rPr>
                <w:bCs/>
                <w:color w:val="000000"/>
              </w:rPr>
            </w:pPr>
          </w:p>
          <w:p w14:paraId="6002EAE2" w14:textId="77777777" w:rsidR="00AD1542" w:rsidRDefault="00AD1542">
            <w:pPr>
              <w:jc w:val="both"/>
              <w:rPr>
                <w:bCs/>
                <w:color w:val="000000"/>
              </w:rPr>
            </w:pPr>
          </w:p>
          <w:p w14:paraId="6AF9C9F9" w14:textId="77777777" w:rsidR="00AD1542" w:rsidRDefault="00AD1542">
            <w:pPr>
              <w:jc w:val="both"/>
              <w:rPr>
                <w:bCs/>
                <w:color w:val="000000"/>
              </w:rPr>
            </w:pPr>
          </w:p>
          <w:p w14:paraId="0BC6488D" w14:textId="77777777" w:rsidR="00AD1542" w:rsidRDefault="00AD1542">
            <w:pPr>
              <w:jc w:val="both"/>
              <w:rPr>
                <w:bCs/>
                <w:color w:val="000000"/>
              </w:rPr>
            </w:pPr>
          </w:p>
          <w:p w14:paraId="50D9FCB3" w14:textId="77777777" w:rsidR="00AD1542" w:rsidRPr="003A3C1D" w:rsidRDefault="00AD1542">
            <w:pPr>
              <w:jc w:val="both"/>
              <w:rPr>
                <w:bCs/>
                <w:color w:val="000000"/>
              </w:rPr>
            </w:pPr>
          </w:p>
        </w:tc>
      </w:tr>
      <w:tr w:rsidR="00AD1542" w:rsidRPr="002808EC" w14:paraId="0ED7A1D6" w14:textId="77777777">
        <w:trPr>
          <w:trHeight w:val="257"/>
        </w:trPr>
        <w:tc>
          <w:tcPr>
            <w:tcW w:w="1080" w:type="pct"/>
            <w:shd w:val="clear" w:color="auto" w:fill="D9D9D9"/>
          </w:tcPr>
          <w:p w14:paraId="49191C6B" w14:textId="77777777" w:rsidR="00AD1542" w:rsidRPr="003A3C1D" w:rsidRDefault="00AD15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920" w:type="pct"/>
            <w:gridSpan w:val="2"/>
            <w:shd w:val="clear" w:color="auto" w:fill="auto"/>
          </w:tcPr>
          <w:p w14:paraId="63640318" w14:textId="77777777" w:rsidR="00AD1542" w:rsidRPr="002808EC" w:rsidRDefault="00CC4770">
            <w:pPr>
              <w:jc w:val="both"/>
              <w:rPr>
                <w:iCs/>
              </w:rPr>
            </w:pPr>
            <w:r>
              <w:rPr>
                <w:iCs/>
              </w:rPr>
              <w:t>Primljena sredstva</w:t>
            </w:r>
            <w:r w:rsidR="00DC0EEF">
              <w:rPr>
                <w:iCs/>
              </w:rPr>
              <w:t xml:space="preserve"> u 2023. godini</w:t>
            </w:r>
            <w:r w:rsidR="00FC1948">
              <w:rPr>
                <w:iCs/>
              </w:rPr>
              <w:t xml:space="preserve"> , kao i očekivana sredstva do kraja godine po potpisanom Ugovoru od 19.10.2023.</w:t>
            </w:r>
          </w:p>
        </w:tc>
      </w:tr>
    </w:tbl>
    <w:p w14:paraId="01685AB9" w14:textId="77777777" w:rsidR="00AD1542" w:rsidRDefault="00AD1542" w:rsidP="00AD1542">
      <w:pPr>
        <w:rPr>
          <w:color w:val="FF0000"/>
        </w:rPr>
      </w:pPr>
    </w:p>
    <w:p w14:paraId="1B6D25BB" w14:textId="77777777" w:rsidR="00AD1542" w:rsidRDefault="00AD1542" w:rsidP="00AD1542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219"/>
        <w:gridCol w:w="820"/>
        <w:gridCol w:w="1486"/>
        <w:gridCol w:w="2349"/>
      </w:tblGrid>
      <w:tr w:rsidR="00FF2717" w:rsidRPr="005E3C13" w14:paraId="0F6BC769" w14:textId="77777777" w:rsidTr="00FF2717">
        <w:tc>
          <w:tcPr>
            <w:tcW w:w="2235" w:type="dxa"/>
            <w:shd w:val="clear" w:color="auto" w:fill="D9D9D9"/>
          </w:tcPr>
          <w:p w14:paraId="454D2517" w14:textId="77777777" w:rsidR="00FF2717" w:rsidRPr="003A3C1D" w:rsidRDefault="00FF2717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3100" w:type="dxa"/>
            <w:gridSpan w:val="2"/>
            <w:shd w:val="clear" w:color="auto" w:fill="auto"/>
          </w:tcPr>
          <w:p w14:paraId="3B94C480" w14:textId="77777777" w:rsidR="00FF2717" w:rsidRPr="005E3C13" w:rsidRDefault="00FF27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programa</w:t>
            </w:r>
          </w:p>
        </w:tc>
        <w:tc>
          <w:tcPr>
            <w:tcW w:w="3953" w:type="dxa"/>
            <w:gridSpan w:val="2"/>
            <w:shd w:val="clear" w:color="auto" w:fill="auto"/>
          </w:tcPr>
          <w:p w14:paraId="55433C43" w14:textId="77777777" w:rsidR="00FF2717" w:rsidRPr="005E3C13" w:rsidRDefault="00FF2717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programa</w:t>
            </w:r>
          </w:p>
        </w:tc>
      </w:tr>
      <w:tr w:rsidR="00FF2717" w:rsidRPr="003A3C1D" w14:paraId="213EBB5C" w14:textId="77777777" w:rsidTr="00FF2717">
        <w:tc>
          <w:tcPr>
            <w:tcW w:w="2235" w:type="dxa"/>
            <w:shd w:val="clear" w:color="auto" w:fill="D9D9D9"/>
          </w:tcPr>
          <w:p w14:paraId="34CDBE4B" w14:textId="77777777" w:rsidR="00FF2717" w:rsidRPr="003A3C1D" w:rsidRDefault="00FF27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7053" w:type="dxa"/>
            <w:gridSpan w:val="4"/>
            <w:shd w:val="clear" w:color="auto" w:fill="auto"/>
          </w:tcPr>
          <w:p w14:paraId="540A1118" w14:textId="77777777" w:rsidR="00FF2717" w:rsidRPr="003A3C1D" w:rsidRDefault="00FF2717">
            <w:pPr>
              <w:jc w:val="both"/>
              <w:rPr>
                <w:bCs/>
                <w:color w:val="000000"/>
              </w:rPr>
            </w:pPr>
          </w:p>
        </w:tc>
      </w:tr>
      <w:tr w:rsidR="00FF2717" w:rsidRPr="00AC2C3E" w14:paraId="4FE7A6AE" w14:textId="77777777" w:rsidTr="00FF2717">
        <w:trPr>
          <w:trHeight w:val="218"/>
        </w:trPr>
        <w:tc>
          <w:tcPr>
            <w:tcW w:w="2235" w:type="dxa"/>
            <w:shd w:val="clear" w:color="auto" w:fill="F2F2F2"/>
          </w:tcPr>
          <w:p w14:paraId="7EA672A3" w14:textId="77777777" w:rsidR="00FF2717" w:rsidRPr="00AC2C3E" w:rsidRDefault="00FF2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Proračun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F2F2F2"/>
          </w:tcPr>
          <w:p w14:paraId="5288DC96" w14:textId="77777777" w:rsidR="00FF2717" w:rsidRPr="00AC2C3E" w:rsidRDefault="00FF2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I. Rebalans 202</w:t>
            </w: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76" w:type="dxa"/>
            <w:gridSpan w:val="2"/>
            <w:shd w:val="clear" w:color="auto" w:fill="F2F2F2"/>
          </w:tcPr>
          <w:p w14:paraId="67834C9E" w14:textId="77777777" w:rsidR="00FF2717" w:rsidRPr="00AC2C3E" w:rsidRDefault="00FF2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Iznos promjene</w:t>
            </w:r>
          </w:p>
        </w:tc>
        <w:tc>
          <w:tcPr>
            <w:tcW w:w="2409" w:type="dxa"/>
          </w:tcPr>
          <w:p w14:paraId="331F3958" w14:textId="77777777" w:rsidR="00FF2717" w:rsidRPr="00AC2C3E" w:rsidRDefault="00FF2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I. Rebalans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F2717" w:rsidRPr="00B41766" w14:paraId="361976C5" w14:textId="77777777" w:rsidTr="00FF2717">
        <w:trPr>
          <w:trHeight w:val="2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4685" w14:textId="77777777" w:rsidR="00FF2717" w:rsidRPr="00B41766" w:rsidRDefault="00204D6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1.718.575,77</w:t>
            </w:r>
            <w:r w:rsidR="00FF2717">
              <w:rPr>
                <w:bCs/>
                <w:color w:val="000000"/>
              </w:rPr>
              <w:t>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FF9B" w14:textId="77777777" w:rsidR="00FF2717" w:rsidRPr="00B41766" w:rsidRDefault="0061278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1.718.575,77</w:t>
            </w:r>
            <w:r w:rsidR="00FF2717">
              <w:rPr>
                <w:bCs/>
                <w:color w:val="000000"/>
              </w:rPr>
              <w:t>€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CC5A" w14:textId="77777777" w:rsidR="00FF2717" w:rsidRPr="00B41766" w:rsidRDefault="0061278C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401.607,28</w:t>
            </w:r>
            <w:r w:rsidR="00FF2717">
              <w:rPr>
                <w:bCs/>
                <w:color w:val="000000"/>
              </w:rPr>
              <w:t>€</w:t>
            </w:r>
          </w:p>
        </w:tc>
        <w:tc>
          <w:tcPr>
            <w:tcW w:w="2409" w:type="dxa"/>
          </w:tcPr>
          <w:p w14:paraId="6D5D79E0" w14:textId="77777777" w:rsidR="00FF2717" w:rsidRPr="00B41766" w:rsidRDefault="0061278C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2.120.183,05</w:t>
            </w:r>
            <w:r w:rsidR="00FF2717">
              <w:rPr>
                <w:bCs/>
                <w:color w:val="000000"/>
              </w:rPr>
              <w:t>€</w:t>
            </w:r>
          </w:p>
        </w:tc>
      </w:tr>
    </w:tbl>
    <w:p w14:paraId="09EE28BB" w14:textId="77777777" w:rsidR="00E6722A" w:rsidRDefault="00E6722A" w:rsidP="00E6722A">
      <w:pPr>
        <w:rPr>
          <w:color w:val="FF0000"/>
        </w:rPr>
      </w:pPr>
    </w:p>
    <w:p w14:paraId="109D3426" w14:textId="77777777" w:rsidR="00E6722A" w:rsidRDefault="00E6722A" w:rsidP="00E6722A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050"/>
        <w:gridCol w:w="928"/>
        <w:gridCol w:w="1999"/>
        <w:gridCol w:w="1394"/>
        <w:gridCol w:w="1966"/>
      </w:tblGrid>
      <w:tr w:rsidR="00E6722A" w:rsidRPr="00466EA6" w14:paraId="5DAF62A1" w14:textId="77777777">
        <w:trPr>
          <w:trHeight w:val="651"/>
        </w:trPr>
        <w:tc>
          <w:tcPr>
            <w:tcW w:w="0" w:type="auto"/>
            <w:shd w:val="clear" w:color="auto" w:fill="D9D9D9"/>
          </w:tcPr>
          <w:p w14:paraId="79E661B4" w14:textId="77777777" w:rsidR="00E6722A" w:rsidRPr="00AD6019" w:rsidRDefault="00E6722A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14:paraId="163F36AC" w14:textId="77777777" w:rsidR="00E6722A" w:rsidRPr="00AD6019" w:rsidRDefault="00E672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122116C4" w14:textId="77777777" w:rsidR="00E6722A" w:rsidRPr="00AD6019" w:rsidRDefault="00E672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1A730C1C" w14:textId="77777777" w:rsidR="00E6722A" w:rsidRPr="00AD6019" w:rsidRDefault="00E672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4AA45CC5" w14:textId="77777777" w:rsidR="00E6722A" w:rsidRPr="00AD6019" w:rsidRDefault="00E67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1E87E02A" w14:textId="77777777" w:rsidR="00E6722A" w:rsidRPr="00AD6019" w:rsidRDefault="00E672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E6722A" w14:paraId="60BE16D4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2C679D3F" w14:textId="77777777" w:rsidR="00E6722A" w:rsidRPr="00156DB2" w:rsidRDefault="00E6722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E083CCD" w14:textId="77777777" w:rsidR="00E6722A" w:rsidRPr="00156DB2" w:rsidRDefault="00E6722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D113FD1" w14:textId="77777777" w:rsidR="00E6722A" w:rsidRPr="00156DB2" w:rsidRDefault="00E6722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9CA095E" w14:textId="77777777" w:rsidR="00E6722A" w:rsidRPr="00156DB2" w:rsidRDefault="00E6722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6D65030" w14:textId="77777777" w:rsidR="00E6722A" w:rsidRPr="00156DB2" w:rsidRDefault="00E6722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6CF10A3" w14:textId="77777777" w:rsidR="00E6722A" w:rsidRPr="00156DB2" w:rsidRDefault="00E6722A">
            <w:pPr>
              <w:rPr>
                <w:sz w:val="22"/>
                <w:szCs w:val="22"/>
              </w:rPr>
            </w:pPr>
          </w:p>
        </w:tc>
      </w:tr>
      <w:tr w:rsidR="00E6722A" w14:paraId="63B80B85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777EA625" w14:textId="77777777" w:rsidR="00E6722A" w:rsidRPr="00156DB2" w:rsidRDefault="00E6722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0B8BF31" w14:textId="77777777" w:rsidR="00E6722A" w:rsidRPr="00156DB2" w:rsidRDefault="00E6722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A8BAE6A" w14:textId="77777777" w:rsidR="00E6722A" w:rsidRPr="00156DB2" w:rsidRDefault="00E6722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BAEFCC3" w14:textId="77777777" w:rsidR="00E6722A" w:rsidRPr="00156DB2" w:rsidRDefault="00E6722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323A007" w14:textId="77777777" w:rsidR="00E6722A" w:rsidRPr="00156DB2" w:rsidRDefault="00E6722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8BF088E" w14:textId="77777777" w:rsidR="00E6722A" w:rsidRPr="00156DB2" w:rsidRDefault="00E6722A">
            <w:pPr>
              <w:rPr>
                <w:sz w:val="22"/>
                <w:szCs w:val="22"/>
              </w:rPr>
            </w:pPr>
          </w:p>
        </w:tc>
      </w:tr>
      <w:tr w:rsidR="00E6722A" w14:paraId="342E3FF0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269EE8A6" w14:textId="77777777" w:rsidR="00E6722A" w:rsidRPr="00156DB2" w:rsidRDefault="00E6722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9500165" w14:textId="77777777" w:rsidR="00E6722A" w:rsidRPr="00156DB2" w:rsidRDefault="00E6722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D525868" w14:textId="77777777" w:rsidR="00E6722A" w:rsidRPr="00156DB2" w:rsidRDefault="00E6722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B166A04" w14:textId="77777777" w:rsidR="00E6722A" w:rsidRPr="00156DB2" w:rsidRDefault="00E6722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5EE0C4B" w14:textId="77777777" w:rsidR="00E6722A" w:rsidRPr="00156DB2" w:rsidRDefault="00E6722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85A885E" w14:textId="77777777" w:rsidR="00E6722A" w:rsidRPr="00156DB2" w:rsidRDefault="00E6722A">
            <w:pPr>
              <w:rPr>
                <w:sz w:val="22"/>
                <w:szCs w:val="22"/>
              </w:rPr>
            </w:pPr>
          </w:p>
        </w:tc>
      </w:tr>
    </w:tbl>
    <w:p w14:paraId="6D57A018" w14:textId="77777777" w:rsidR="00E6722A" w:rsidRDefault="00E6722A" w:rsidP="00E6722A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513"/>
        <w:gridCol w:w="5591"/>
      </w:tblGrid>
      <w:tr w:rsidR="00E6722A" w:rsidRPr="005E3C13" w14:paraId="53BCA3D8" w14:textId="77777777">
        <w:trPr>
          <w:trHeight w:val="517"/>
        </w:trPr>
        <w:tc>
          <w:tcPr>
            <w:tcW w:w="1080" w:type="pct"/>
            <w:shd w:val="clear" w:color="auto" w:fill="D9D9D9"/>
          </w:tcPr>
          <w:p w14:paraId="55A5A49D" w14:textId="77777777" w:rsidR="00E6722A" w:rsidRPr="003A3C1D" w:rsidRDefault="00E672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35" w:type="pct"/>
            <w:shd w:val="clear" w:color="auto" w:fill="auto"/>
          </w:tcPr>
          <w:p w14:paraId="4EA90A74" w14:textId="77777777" w:rsidR="00E6722A" w:rsidRDefault="00E672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14:paraId="4602E1CD" w14:textId="77777777" w:rsidR="00E6722A" w:rsidRPr="005E3C13" w:rsidRDefault="00E6722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  <w:r>
              <w:rPr>
                <w:b/>
                <w:bCs/>
                <w:color w:val="000000"/>
              </w:rPr>
              <w:t xml:space="preserve"> A400</w:t>
            </w:r>
            <w:r w:rsidR="004B320A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084" w:type="pct"/>
            <w:shd w:val="clear" w:color="auto" w:fill="auto"/>
          </w:tcPr>
          <w:p w14:paraId="779D5142" w14:textId="77777777" w:rsidR="00E6722A" w:rsidRDefault="00E6722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14:paraId="69433E5F" w14:textId="77777777" w:rsidR="00E6722A" w:rsidRPr="005E3C13" w:rsidRDefault="00E672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RASHODI DJELATNOSTI</w:t>
            </w:r>
          </w:p>
        </w:tc>
      </w:tr>
      <w:tr w:rsidR="00E6722A" w:rsidRPr="0090601B" w14:paraId="3681795D" w14:textId="77777777">
        <w:trPr>
          <w:trHeight w:val="517"/>
        </w:trPr>
        <w:tc>
          <w:tcPr>
            <w:tcW w:w="1080" w:type="pct"/>
            <w:shd w:val="clear" w:color="auto" w:fill="D9D9D9"/>
          </w:tcPr>
          <w:p w14:paraId="06E66D70" w14:textId="77777777" w:rsidR="00E6722A" w:rsidRPr="003A3C1D" w:rsidRDefault="00E672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20" w:type="pct"/>
            <w:gridSpan w:val="2"/>
            <w:shd w:val="clear" w:color="auto" w:fill="auto"/>
          </w:tcPr>
          <w:p w14:paraId="51011E9A" w14:textId="77777777" w:rsidR="00E6722A" w:rsidRPr="0090601B" w:rsidRDefault="00E6722A">
            <w:pPr>
              <w:spacing w:after="14" w:line="276" w:lineRule="auto"/>
              <w:ind w:left="16"/>
              <w:rPr>
                <w:rFonts w:ascii="Verdana" w:hAnsi="Verdana" w:cs="Calibri"/>
                <w:color w:val="000000"/>
                <w:lang w:val="pl-PL"/>
              </w:rPr>
            </w:pPr>
            <w:r w:rsidRPr="0090601B">
              <w:rPr>
                <w:rFonts w:ascii="Verdana" w:hAnsi="Verdana" w:cs="Calibri"/>
                <w:color w:val="000000"/>
                <w:lang w:val="pl-PL"/>
              </w:rPr>
              <w:t xml:space="preserve"> </w:t>
            </w:r>
          </w:p>
          <w:p w14:paraId="32FFEDA3" w14:textId="77777777" w:rsidR="00E6722A" w:rsidRPr="00A728D7" w:rsidRDefault="00E6722A" w:rsidP="00E6722A">
            <w:pPr>
              <w:rPr>
                <w:rFonts w:eastAsia="Symbol"/>
                <w:iCs/>
                <w:lang w:val="pl-PL"/>
              </w:rPr>
            </w:pPr>
            <w:r w:rsidRPr="00A728D7">
              <w:rPr>
                <w:rFonts w:eastAsia="Symbol"/>
                <w:iCs/>
                <w:lang w:val="pl-PL"/>
              </w:rPr>
              <w:t>Zakon o odgoju i obrazovanju u osnovnoj i srednjoj školi</w:t>
            </w:r>
          </w:p>
          <w:p w14:paraId="1F4C4B14" w14:textId="77777777" w:rsidR="00E6722A" w:rsidRPr="00A728D7" w:rsidRDefault="00E6722A" w:rsidP="00E6722A">
            <w:pPr>
              <w:rPr>
                <w:rFonts w:eastAsia="Symbol"/>
                <w:iCs/>
                <w:lang w:val="pl-PL"/>
              </w:rPr>
            </w:pPr>
            <w:r w:rsidRPr="00A728D7">
              <w:rPr>
                <w:rFonts w:eastAsia="Symbol"/>
                <w:iCs/>
                <w:lang w:val="pl-PL"/>
              </w:rPr>
              <w:t>Odluka o kriterijima,mjerilima i načinu financiranja materijalnih i financijskih rashoda srednjih škola i učeničkih domova SDŽ</w:t>
            </w:r>
          </w:p>
          <w:p w14:paraId="4CE8EEF8" w14:textId="77777777" w:rsidR="00E6722A" w:rsidRPr="00A728D7" w:rsidRDefault="00E6722A" w:rsidP="00E6722A">
            <w:pPr>
              <w:rPr>
                <w:rFonts w:eastAsia="Symbol"/>
                <w:iCs/>
                <w:lang w:val="pl-PL"/>
              </w:rPr>
            </w:pPr>
            <w:r w:rsidRPr="00A728D7">
              <w:rPr>
                <w:rFonts w:eastAsia="Symbol"/>
                <w:iCs/>
                <w:lang w:val="pl-PL"/>
              </w:rPr>
              <w:t>Pravilnik o korištenju vlastitih prihoda</w:t>
            </w:r>
          </w:p>
          <w:p w14:paraId="1F247C7C" w14:textId="77777777" w:rsidR="00E6722A" w:rsidRPr="009C70DB" w:rsidRDefault="00E6722A" w:rsidP="00E6722A">
            <w:pPr>
              <w:rPr>
                <w:rFonts w:eastAsia="Symbol"/>
                <w:iCs/>
                <w:lang w:val="pl-PL"/>
              </w:rPr>
            </w:pPr>
            <w:r>
              <w:rPr>
                <w:rFonts w:eastAsia="Symbol"/>
                <w:iCs/>
                <w:lang w:val="pl-PL"/>
              </w:rPr>
              <w:t xml:space="preserve">Odluka Školskog odbora za utvrđene povećane troškove obrazovanja učenika prvih razreda od 15.06.2022. Kl:007-04/22-01/05 Ur.br.2181-336-22-01-6 </w:t>
            </w:r>
          </w:p>
          <w:p w14:paraId="55C85319" w14:textId="77777777" w:rsidR="00E6722A" w:rsidRPr="00CA1FD3" w:rsidRDefault="00E6722A">
            <w:pPr>
              <w:rPr>
                <w:rFonts w:eastAsia="Symbol"/>
                <w:iCs/>
                <w:sz w:val="28"/>
                <w:szCs w:val="28"/>
                <w:lang w:val="pl-PL"/>
              </w:rPr>
            </w:pPr>
          </w:p>
          <w:p w14:paraId="0128CCD0" w14:textId="77777777" w:rsidR="00E6722A" w:rsidRDefault="00E6722A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1545FC2A" w14:textId="77777777" w:rsidR="00E6722A" w:rsidRPr="0090601B" w:rsidRDefault="00E6722A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38E79E5E" w14:textId="77777777" w:rsidR="00E6722A" w:rsidRPr="0090601B" w:rsidRDefault="00E6722A">
            <w:pPr>
              <w:rPr>
                <w:rFonts w:eastAsia="Symbol"/>
                <w:iCs/>
                <w:color w:val="FF0000"/>
                <w:lang w:val="pl-PL"/>
              </w:rPr>
            </w:pPr>
          </w:p>
          <w:p w14:paraId="28B34997" w14:textId="77777777" w:rsidR="00E6722A" w:rsidRPr="0090601B" w:rsidRDefault="00E6722A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011AE1F4" w14:textId="77777777" w:rsidR="00E6722A" w:rsidRPr="0090601B" w:rsidRDefault="00E6722A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7F5AF4AD" w14:textId="77777777" w:rsidR="00E6722A" w:rsidRPr="0090601B" w:rsidRDefault="00E6722A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5F69830A" w14:textId="77777777" w:rsidR="00E6722A" w:rsidRPr="0090601B" w:rsidRDefault="00E6722A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6DD4F51D" w14:textId="77777777" w:rsidR="00E6722A" w:rsidRPr="0090601B" w:rsidRDefault="00E6722A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1DCC5B9D" w14:textId="77777777" w:rsidR="00E6722A" w:rsidRPr="0090601B" w:rsidRDefault="00E6722A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43E35619" w14:textId="77777777" w:rsidR="00E6722A" w:rsidRPr="0090601B" w:rsidRDefault="00E6722A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036AE28A" w14:textId="77777777" w:rsidR="00E6722A" w:rsidRPr="0090601B" w:rsidRDefault="00E6722A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E6722A" w:rsidRPr="003A3C1D" w14:paraId="70AFA3A2" w14:textId="77777777">
        <w:trPr>
          <w:trHeight w:val="257"/>
        </w:trPr>
        <w:tc>
          <w:tcPr>
            <w:tcW w:w="1080" w:type="pct"/>
            <w:shd w:val="clear" w:color="auto" w:fill="D9D9D9"/>
          </w:tcPr>
          <w:p w14:paraId="2019A53A" w14:textId="77777777" w:rsidR="00E6722A" w:rsidRPr="003A3C1D" w:rsidRDefault="00E672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lastRenderedPageBreak/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20" w:type="pct"/>
            <w:gridSpan w:val="2"/>
            <w:shd w:val="clear" w:color="auto" w:fill="auto"/>
          </w:tcPr>
          <w:p w14:paraId="12E45DA4" w14:textId="77777777" w:rsidR="00E6722A" w:rsidRDefault="00E6722A">
            <w:pPr>
              <w:jc w:val="both"/>
              <w:rPr>
                <w:bCs/>
                <w:color w:val="000000"/>
              </w:rPr>
            </w:pPr>
          </w:p>
          <w:p w14:paraId="5DE91F90" w14:textId="77777777" w:rsidR="00E6722A" w:rsidRDefault="00E6722A">
            <w:pPr>
              <w:jc w:val="both"/>
              <w:rPr>
                <w:bCs/>
                <w:color w:val="000000"/>
              </w:rPr>
            </w:pPr>
          </w:p>
          <w:p w14:paraId="536CBFFD" w14:textId="77777777" w:rsidR="00E6722A" w:rsidRDefault="00E6722A" w:rsidP="00E6722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Odgoj o obrazovanje mladeži i odraslih za stjecanje srednje stručne spreme iz područja elektrotehnike, strojarstva i obrade drva.</w:t>
            </w:r>
          </w:p>
          <w:p w14:paraId="0E0E1D3D" w14:textId="77777777" w:rsidR="00E6722A" w:rsidRDefault="00E6722A" w:rsidP="00E6722A">
            <w:pPr>
              <w:jc w:val="both"/>
              <w:rPr>
                <w:bCs/>
                <w:color w:val="000000"/>
              </w:rPr>
            </w:pPr>
          </w:p>
          <w:p w14:paraId="4E8455D8" w14:textId="77777777" w:rsidR="00E6722A" w:rsidRDefault="00E6722A">
            <w:pPr>
              <w:jc w:val="both"/>
              <w:rPr>
                <w:bCs/>
                <w:color w:val="000000"/>
              </w:rPr>
            </w:pPr>
          </w:p>
          <w:p w14:paraId="45DE3182" w14:textId="77777777" w:rsidR="00E6722A" w:rsidRDefault="00E6722A">
            <w:pPr>
              <w:jc w:val="both"/>
              <w:rPr>
                <w:bCs/>
                <w:color w:val="000000"/>
              </w:rPr>
            </w:pPr>
          </w:p>
          <w:p w14:paraId="781E3399" w14:textId="77777777" w:rsidR="00E6722A" w:rsidRDefault="00E6722A">
            <w:pPr>
              <w:jc w:val="both"/>
              <w:rPr>
                <w:bCs/>
                <w:color w:val="000000"/>
              </w:rPr>
            </w:pPr>
          </w:p>
          <w:p w14:paraId="39AE5996" w14:textId="77777777" w:rsidR="00E6722A" w:rsidRPr="003A3C1D" w:rsidRDefault="00E6722A">
            <w:pPr>
              <w:jc w:val="both"/>
              <w:rPr>
                <w:bCs/>
                <w:color w:val="000000"/>
              </w:rPr>
            </w:pPr>
          </w:p>
        </w:tc>
      </w:tr>
      <w:tr w:rsidR="00E6722A" w:rsidRPr="002808EC" w14:paraId="5852E297" w14:textId="77777777">
        <w:trPr>
          <w:trHeight w:val="257"/>
        </w:trPr>
        <w:tc>
          <w:tcPr>
            <w:tcW w:w="1080" w:type="pct"/>
            <w:shd w:val="clear" w:color="auto" w:fill="D9D9D9"/>
          </w:tcPr>
          <w:p w14:paraId="1D257D62" w14:textId="77777777" w:rsidR="00E6722A" w:rsidRPr="003A3C1D" w:rsidRDefault="00E672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920" w:type="pct"/>
            <w:gridSpan w:val="2"/>
            <w:shd w:val="clear" w:color="auto" w:fill="auto"/>
          </w:tcPr>
          <w:p w14:paraId="4247D212" w14:textId="77777777" w:rsidR="00E6722A" w:rsidRPr="002808EC" w:rsidRDefault="00E16DA4">
            <w:pPr>
              <w:jc w:val="both"/>
              <w:rPr>
                <w:iCs/>
              </w:rPr>
            </w:pPr>
            <w:r>
              <w:rPr>
                <w:iCs/>
              </w:rPr>
              <w:t>Planirana sredstva na osnovu realizacije prethodnog razdoblja</w:t>
            </w:r>
            <w:r w:rsidR="004B320A">
              <w:rPr>
                <w:iCs/>
              </w:rPr>
              <w:t>, te su uvećana zbog povećanja osnovi</w:t>
            </w:r>
            <w:r w:rsidR="00A771EB">
              <w:rPr>
                <w:iCs/>
              </w:rPr>
              <w:t>c</w:t>
            </w:r>
            <w:r w:rsidR="004B320A">
              <w:rPr>
                <w:iCs/>
              </w:rPr>
              <w:t>e,, privremenog dodatka na plaću temeljem Odluke Vlade, kao i povećanja materijalnih prava zaposlenih u javnom sektoru.</w:t>
            </w:r>
          </w:p>
        </w:tc>
      </w:tr>
    </w:tbl>
    <w:p w14:paraId="7ECBA3D4" w14:textId="77777777" w:rsidR="00E6722A" w:rsidRDefault="00E6722A" w:rsidP="00E6722A">
      <w:pPr>
        <w:rPr>
          <w:color w:val="FF0000"/>
        </w:rPr>
      </w:pPr>
    </w:p>
    <w:p w14:paraId="6558E836" w14:textId="77777777" w:rsidR="00E6722A" w:rsidRDefault="00E6722A" w:rsidP="00E6722A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213"/>
        <w:gridCol w:w="812"/>
        <w:gridCol w:w="1506"/>
        <w:gridCol w:w="2351"/>
      </w:tblGrid>
      <w:tr w:rsidR="00890768" w:rsidRPr="003A3C1D" w14:paraId="24B420E6" w14:textId="77777777">
        <w:tc>
          <w:tcPr>
            <w:tcW w:w="1203" w:type="pct"/>
            <w:shd w:val="clear" w:color="auto" w:fill="D9D9D9"/>
          </w:tcPr>
          <w:p w14:paraId="1ED1448C" w14:textId="77777777" w:rsidR="00890768" w:rsidRPr="003A3C1D" w:rsidRDefault="0089076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1669" w:type="pct"/>
            <w:gridSpan w:val="2"/>
            <w:shd w:val="clear" w:color="auto" w:fill="auto"/>
          </w:tcPr>
          <w:p w14:paraId="5D3F7C09" w14:textId="77777777" w:rsidR="00890768" w:rsidRPr="005E3C13" w:rsidRDefault="008907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programa</w:t>
            </w:r>
          </w:p>
        </w:tc>
        <w:tc>
          <w:tcPr>
            <w:tcW w:w="2128" w:type="pct"/>
            <w:gridSpan w:val="2"/>
            <w:shd w:val="clear" w:color="auto" w:fill="auto"/>
          </w:tcPr>
          <w:p w14:paraId="6786428E" w14:textId="77777777" w:rsidR="00890768" w:rsidRPr="005E3C13" w:rsidRDefault="00890768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programa</w:t>
            </w:r>
          </w:p>
        </w:tc>
      </w:tr>
      <w:tr w:rsidR="00890768" w:rsidRPr="003A3C1D" w14:paraId="6AB8CB87" w14:textId="77777777">
        <w:tc>
          <w:tcPr>
            <w:tcW w:w="1203" w:type="pct"/>
            <w:shd w:val="clear" w:color="auto" w:fill="D9D9D9"/>
          </w:tcPr>
          <w:p w14:paraId="2D5ECCD5" w14:textId="77777777" w:rsidR="00890768" w:rsidRPr="003A3C1D" w:rsidRDefault="008907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3797" w:type="pct"/>
            <w:gridSpan w:val="4"/>
            <w:shd w:val="clear" w:color="auto" w:fill="auto"/>
          </w:tcPr>
          <w:p w14:paraId="28E4C07A" w14:textId="77777777" w:rsidR="00890768" w:rsidRPr="003A3C1D" w:rsidRDefault="00890768">
            <w:pPr>
              <w:jc w:val="both"/>
              <w:rPr>
                <w:bCs/>
                <w:color w:val="000000"/>
              </w:rPr>
            </w:pPr>
          </w:p>
        </w:tc>
      </w:tr>
      <w:tr w:rsidR="00890768" w:rsidRPr="009A2B51" w14:paraId="28D68338" w14:textId="77777777">
        <w:trPr>
          <w:trHeight w:val="218"/>
        </w:trPr>
        <w:tc>
          <w:tcPr>
            <w:tcW w:w="1203" w:type="pct"/>
            <w:shd w:val="clear" w:color="auto" w:fill="F2F2F2"/>
          </w:tcPr>
          <w:p w14:paraId="4E64F79F" w14:textId="77777777" w:rsidR="00890768" w:rsidRPr="00AC2C3E" w:rsidRDefault="008907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Proračun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21" w:type="pct"/>
            <w:shd w:val="clear" w:color="auto" w:fill="F2F2F2"/>
          </w:tcPr>
          <w:p w14:paraId="127C7917" w14:textId="77777777" w:rsidR="00890768" w:rsidRPr="00AC2C3E" w:rsidRDefault="008907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I. Rebalans 202</w:t>
            </w: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79" w:type="pct"/>
            <w:gridSpan w:val="2"/>
            <w:shd w:val="clear" w:color="auto" w:fill="F2F2F2"/>
          </w:tcPr>
          <w:p w14:paraId="4C3E112A" w14:textId="77777777" w:rsidR="00890768" w:rsidRPr="00AC2C3E" w:rsidRDefault="008907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Iznos promjene</w:t>
            </w:r>
          </w:p>
        </w:tc>
        <w:tc>
          <w:tcPr>
            <w:tcW w:w="1279" w:type="pct"/>
          </w:tcPr>
          <w:p w14:paraId="04255FBD" w14:textId="77777777" w:rsidR="00890768" w:rsidRPr="00AC2C3E" w:rsidRDefault="008907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I. Rebalans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90768" w:rsidRPr="0033683A" w14:paraId="79E9F8CC" w14:textId="77777777">
        <w:trPr>
          <w:trHeight w:val="218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BF9A" w14:textId="77777777" w:rsidR="00890768" w:rsidRPr="00B41766" w:rsidRDefault="00C218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59.725,26</w:t>
            </w:r>
            <w:r w:rsidR="00890768">
              <w:rPr>
                <w:bCs/>
                <w:color w:val="000000"/>
              </w:rPr>
              <w:t>€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62FE" w14:textId="77777777" w:rsidR="00890768" w:rsidRPr="00B41766" w:rsidRDefault="00C218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59.725,26</w:t>
            </w:r>
            <w:r w:rsidR="00890768">
              <w:rPr>
                <w:bCs/>
                <w:color w:val="000000"/>
              </w:rPr>
              <w:t>€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8143" w14:textId="77777777" w:rsidR="00890768" w:rsidRPr="00B41766" w:rsidRDefault="00890768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€</w:t>
            </w:r>
          </w:p>
        </w:tc>
        <w:tc>
          <w:tcPr>
            <w:tcW w:w="1279" w:type="pct"/>
          </w:tcPr>
          <w:p w14:paraId="3AE4E31F" w14:textId="77777777" w:rsidR="00890768" w:rsidRPr="00B41766" w:rsidRDefault="00C218E1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59725,26</w:t>
            </w:r>
            <w:r w:rsidR="00890768">
              <w:rPr>
                <w:bCs/>
                <w:color w:val="000000"/>
              </w:rPr>
              <w:t>€</w:t>
            </w:r>
          </w:p>
        </w:tc>
      </w:tr>
    </w:tbl>
    <w:p w14:paraId="1FFA9077" w14:textId="77777777" w:rsidR="00890768" w:rsidRDefault="00890768" w:rsidP="00890768">
      <w:pPr>
        <w:rPr>
          <w:color w:val="FF0000"/>
        </w:rPr>
      </w:pPr>
    </w:p>
    <w:p w14:paraId="6A84DD80" w14:textId="77777777" w:rsidR="00890768" w:rsidRDefault="00890768" w:rsidP="00890768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403"/>
        <w:gridCol w:w="1241"/>
        <w:gridCol w:w="1682"/>
        <w:gridCol w:w="1455"/>
        <w:gridCol w:w="1671"/>
      </w:tblGrid>
      <w:tr w:rsidR="00890768" w:rsidRPr="00466EA6" w14:paraId="31210A55" w14:textId="77777777">
        <w:trPr>
          <w:trHeight w:val="651"/>
        </w:trPr>
        <w:tc>
          <w:tcPr>
            <w:tcW w:w="888" w:type="pct"/>
            <w:shd w:val="clear" w:color="auto" w:fill="D9D9D9"/>
          </w:tcPr>
          <w:p w14:paraId="06326127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774" w:type="pct"/>
            <w:shd w:val="clear" w:color="auto" w:fill="D9D9D9"/>
          </w:tcPr>
          <w:p w14:paraId="55C5CCFD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685" w:type="pct"/>
            <w:shd w:val="clear" w:color="auto" w:fill="D9D9D9"/>
          </w:tcPr>
          <w:p w14:paraId="2055EC1D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928" w:type="pct"/>
            <w:shd w:val="clear" w:color="auto" w:fill="D9D9D9"/>
          </w:tcPr>
          <w:p w14:paraId="1B4FE516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03" w:type="pct"/>
            <w:shd w:val="clear" w:color="auto" w:fill="D9D9D9"/>
          </w:tcPr>
          <w:p w14:paraId="63143A95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922" w:type="pct"/>
            <w:shd w:val="clear" w:color="auto" w:fill="D9D9D9"/>
          </w:tcPr>
          <w:p w14:paraId="1A184BCF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890768" w14:paraId="1F448BC0" w14:textId="77777777">
        <w:trPr>
          <w:trHeight w:val="219"/>
        </w:trPr>
        <w:tc>
          <w:tcPr>
            <w:tcW w:w="888" w:type="pct"/>
            <w:shd w:val="clear" w:color="auto" w:fill="auto"/>
          </w:tcPr>
          <w:p w14:paraId="5B963951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14:paraId="2D21BB7C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</w:tcPr>
          <w:p w14:paraId="02223C79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auto"/>
          </w:tcPr>
          <w:p w14:paraId="767698D0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14:paraId="3ED15FDF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</w:tcPr>
          <w:p w14:paraId="0157C59B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</w:tr>
      <w:tr w:rsidR="00890768" w14:paraId="0B0A0D1D" w14:textId="77777777">
        <w:trPr>
          <w:trHeight w:val="219"/>
        </w:trPr>
        <w:tc>
          <w:tcPr>
            <w:tcW w:w="888" w:type="pct"/>
            <w:shd w:val="clear" w:color="auto" w:fill="auto"/>
          </w:tcPr>
          <w:p w14:paraId="23B20052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14:paraId="7EC31846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</w:tcPr>
          <w:p w14:paraId="1D872CC1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auto"/>
          </w:tcPr>
          <w:p w14:paraId="65CCB8F5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14:paraId="79E08ED4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</w:tcPr>
          <w:p w14:paraId="36D45693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</w:tr>
      <w:tr w:rsidR="00890768" w14:paraId="67DDD1FD" w14:textId="77777777">
        <w:trPr>
          <w:trHeight w:val="219"/>
        </w:trPr>
        <w:tc>
          <w:tcPr>
            <w:tcW w:w="888" w:type="pct"/>
            <w:shd w:val="clear" w:color="auto" w:fill="auto"/>
          </w:tcPr>
          <w:p w14:paraId="1BA5BE7F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14:paraId="4089C103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</w:tcPr>
          <w:p w14:paraId="7FBE76BD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auto"/>
          </w:tcPr>
          <w:p w14:paraId="48DE2B05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14:paraId="0E252A1F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</w:tcPr>
          <w:p w14:paraId="42CDAFCB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</w:tr>
    </w:tbl>
    <w:p w14:paraId="43CDCF8B" w14:textId="77777777" w:rsidR="00890768" w:rsidRDefault="00890768" w:rsidP="00890768">
      <w:pPr>
        <w:rPr>
          <w:color w:val="FF0000"/>
        </w:rPr>
      </w:pPr>
    </w:p>
    <w:p w14:paraId="499FF245" w14:textId="77777777" w:rsidR="00890768" w:rsidRDefault="00890768" w:rsidP="00890768">
      <w:pPr>
        <w:rPr>
          <w:color w:val="FF0000"/>
        </w:rPr>
      </w:pPr>
    </w:p>
    <w:p w14:paraId="181E14B0" w14:textId="77777777" w:rsidR="00890768" w:rsidRPr="00640FFF" w:rsidRDefault="00890768" w:rsidP="00890768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1454"/>
        <w:gridCol w:w="5321"/>
      </w:tblGrid>
      <w:tr w:rsidR="00890768" w:rsidRPr="003A3C1D" w14:paraId="6F6DDC14" w14:textId="77777777">
        <w:trPr>
          <w:trHeight w:val="517"/>
        </w:trPr>
        <w:tc>
          <w:tcPr>
            <w:tcW w:w="2331" w:type="dxa"/>
            <w:shd w:val="clear" w:color="auto" w:fill="D9D9D9"/>
          </w:tcPr>
          <w:p w14:paraId="550C72B0" w14:textId="77777777" w:rsidR="00890768" w:rsidRPr="003A3C1D" w:rsidRDefault="0089076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14:paraId="5998A01B" w14:textId="77777777" w:rsidR="00890768" w:rsidRDefault="008907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14:paraId="4F43014D" w14:textId="77777777" w:rsidR="00890768" w:rsidRPr="005E3C13" w:rsidRDefault="00580753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</w:t>
            </w:r>
            <w:r w:rsidR="00890768" w:rsidRPr="005E3C13">
              <w:rPr>
                <w:b/>
                <w:bCs/>
                <w:color w:val="000000"/>
              </w:rPr>
              <w:t>rojekta</w:t>
            </w:r>
            <w:r>
              <w:rPr>
                <w:b/>
                <w:bCs/>
                <w:color w:val="000000"/>
              </w:rPr>
              <w:t xml:space="preserve"> A400101</w:t>
            </w:r>
          </w:p>
        </w:tc>
        <w:tc>
          <w:tcPr>
            <w:tcW w:w="5494" w:type="dxa"/>
            <w:shd w:val="clear" w:color="auto" w:fill="auto"/>
          </w:tcPr>
          <w:p w14:paraId="5895CA7A" w14:textId="77777777" w:rsidR="00890768" w:rsidRDefault="00890768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14:paraId="05858C8E" w14:textId="77777777" w:rsidR="00890768" w:rsidRPr="005E3C13" w:rsidRDefault="005807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Rashodi djelatnosti – Vlastita sredstva</w:t>
            </w:r>
          </w:p>
        </w:tc>
      </w:tr>
      <w:tr w:rsidR="00890768" w:rsidRPr="003A3C1D" w14:paraId="62EBA1C0" w14:textId="77777777">
        <w:trPr>
          <w:trHeight w:val="517"/>
        </w:trPr>
        <w:tc>
          <w:tcPr>
            <w:tcW w:w="2331" w:type="dxa"/>
            <w:shd w:val="clear" w:color="auto" w:fill="D9D9D9"/>
          </w:tcPr>
          <w:p w14:paraId="64A0E9D1" w14:textId="77777777" w:rsidR="00890768" w:rsidRPr="00AC2C3E" w:rsidRDefault="008907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0C36EF30" w14:textId="77777777" w:rsidR="00580753" w:rsidRPr="00A728D7" w:rsidRDefault="00580753" w:rsidP="00580753">
            <w:pPr>
              <w:rPr>
                <w:rFonts w:eastAsia="Symbol"/>
                <w:iCs/>
                <w:lang w:val="pl-PL"/>
              </w:rPr>
            </w:pPr>
            <w:r w:rsidRPr="00A728D7">
              <w:rPr>
                <w:rFonts w:eastAsia="Symbol"/>
                <w:iCs/>
                <w:lang w:val="pl-PL"/>
              </w:rPr>
              <w:t>Pravilnik o korištenju vlastitih prihoda</w:t>
            </w:r>
          </w:p>
          <w:p w14:paraId="3282CC5F" w14:textId="77777777" w:rsidR="00580753" w:rsidRPr="009C70DB" w:rsidRDefault="00580753" w:rsidP="00580753">
            <w:pPr>
              <w:rPr>
                <w:rFonts w:eastAsia="Symbol"/>
                <w:iCs/>
                <w:lang w:val="pl-PL"/>
              </w:rPr>
            </w:pPr>
            <w:r>
              <w:rPr>
                <w:rFonts w:eastAsia="Symbol"/>
                <w:iCs/>
                <w:lang w:val="pl-PL"/>
              </w:rPr>
              <w:t xml:space="preserve">Odluka Školskog odbora za utvrđene povećane troškove obrazovanja učenika prvih razreda od 15.06.2022. Kl:007-04/22-01/05 Ur.br.2181-336-22-01-6 </w:t>
            </w:r>
          </w:p>
          <w:p w14:paraId="5EE71A5F" w14:textId="77777777" w:rsidR="00890768" w:rsidRPr="003A3C1D" w:rsidRDefault="00890768">
            <w:pPr>
              <w:rPr>
                <w:rFonts w:eastAsia="Symbol"/>
                <w:color w:val="000000"/>
                <w:lang w:val="pl-PL"/>
              </w:rPr>
            </w:pPr>
          </w:p>
        </w:tc>
      </w:tr>
      <w:tr w:rsidR="00580753" w:rsidRPr="003A3C1D" w14:paraId="15B80844" w14:textId="77777777">
        <w:trPr>
          <w:trHeight w:val="257"/>
        </w:trPr>
        <w:tc>
          <w:tcPr>
            <w:tcW w:w="2331" w:type="dxa"/>
            <w:shd w:val="clear" w:color="auto" w:fill="D9D9D9"/>
          </w:tcPr>
          <w:p w14:paraId="04A92A88" w14:textId="77777777" w:rsidR="00580753" w:rsidRPr="00AC2C3E" w:rsidRDefault="00580753" w:rsidP="005807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68D14678" w14:textId="77777777" w:rsidR="00580753" w:rsidRPr="00657372" w:rsidRDefault="00580753" w:rsidP="00580753">
            <w:pPr>
              <w:spacing w:after="3" w:line="276" w:lineRule="auto"/>
              <w:ind w:left="16" w:right="2" w:hanging="10"/>
              <w:jc w:val="both"/>
              <w:rPr>
                <w:rFonts w:ascii="Verdana" w:hAnsi="Verdana" w:cs="Calibri"/>
                <w:color w:val="000000"/>
              </w:rPr>
            </w:pPr>
            <w:r w:rsidRPr="00657372">
              <w:rPr>
                <w:rFonts w:ascii="Verdana" w:hAnsi="Verdana" w:cs="Calibri"/>
                <w:color w:val="000000"/>
              </w:rPr>
              <w:t>Odgoj i obrazovanje mladeži i odraslih za stjecanje srednje stručne spreme iz područja elektrotehnike, strojarstva i obrade drva</w:t>
            </w:r>
            <w:r>
              <w:rPr>
                <w:rFonts w:ascii="Verdana" w:hAnsi="Verdana" w:cs="Calibri"/>
                <w:color w:val="000000"/>
              </w:rPr>
              <w:t xml:space="preserve"> – obrazovanje odraslih</w:t>
            </w:r>
          </w:p>
          <w:p w14:paraId="3F896A19" w14:textId="77777777" w:rsidR="00580753" w:rsidRPr="003A3C1D" w:rsidRDefault="00580753" w:rsidP="00580753">
            <w:pPr>
              <w:jc w:val="both"/>
              <w:rPr>
                <w:bCs/>
                <w:color w:val="000000"/>
              </w:rPr>
            </w:pPr>
          </w:p>
        </w:tc>
      </w:tr>
      <w:tr w:rsidR="00C218E1" w:rsidRPr="003A3C1D" w14:paraId="23181FB9" w14:textId="77777777">
        <w:trPr>
          <w:trHeight w:val="257"/>
        </w:trPr>
        <w:tc>
          <w:tcPr>
            <w:tcW w:w="2331" w:type="dxa"/>
            <w:shd w:val="clear" w:color="auto" w:fill="D9D9D9"/>
          </w:tcPr>
          <w:p w14:paraId="5021E19C" w14:textId="77777777" w:rsidR="00C218E1" w:rsidRPr="00AC2C3E" w:rsidRDefault="00C218E1" w:rsidP="00C218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izračuna financijskih sredstava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3ED8ED65" w14:textId="77777777" w:rsidR="00C218E1" w:rsidRPr="003A3C1D" w:rsidRDefault="00C218E1" w:rsidP="00C218E1">
            <w:pPr>
              <w:rPr>
                <w:bCs/>
                <w:color w:val="000000"/>
              </w:rPr>
            </w:pPr>
            <w:r>
              <w:rPr>
                <w:iCs/>
              </w:rPr>
              <w:t>Planirana sredstva na osnovu realizacije prethodnog razdoblja.</w:t>
            </w:r>
          </w:p>
        </w:tc>
      </w:tr>
    </w:tbl>
    <w:p w14:paraId="6F85C27D" w14:textId="77777777" w:rsidR="00890768" w:rsidRDefault="00890768" w:rsidP="00890768">
      <w:pPr>
        <w:rPr>
          <w:color w:val="FF0000"/>
        </w:rPr>
      </w:pPr>
    </w:p>
    <w:p w14:paraId="79831DC8" w14:textId="77777777" w:rsidR="00890768" w:rsidRDefault="00890768" w:rsidP="00890768">
      <w:pPr>
        <w:rPr>
          <w:color w:val="FF0000"/>
        </w:rPr>
      </w:pPr>
    </w:p>
    <w:p w14:paraId="361A82E9" w14:textId="77777777" w:rsidR="00890768" w:rsidRDefault="00890768" w:rsidP="00890768">
      <w:pPr>
        <w:rPr>
          <w:color w:val="FF0000"/>
        </w:rPr>
      </w:pPr>
    </w:p>
    <w:p w14:paraId="321CE4DC" w14:textId="77777777" w:rsidR="00E6722A" w:rsidRDefault="00E6722A" w:rsidP="00E6722A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213"/>
        <w:gridCol w:w="812"/>
        <w:gridCol w:w="1506"/>
        <w:gridCol w:w="2351"/>
      </w:tblGrid>
      <w:tr w:rsidR="00890768" w:rsidRPr="003A3C1D" w14:paraId="07043DBD" w14:textId="77777777">
        <w:tc>
          <w:tcPr>
            <w:tcW w:w="1203" w:type="pct"/>
            <w:shd w:val="clear" w:color="auto" w:fill="D9D9D9"/>
          </w:tcPr>
          <w:p w14:paraId="198498F3" w14:textId="77777777" w:rsidR="00890768" w:rsidRPr="003A3C1D" w:rsidRDefault="0089076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1669" w:type="pct"/>
            <w:gridSpan w:val="2"/>
            <w:shd w:val="clear" w:color="auto" w:fill="auto"/>
          </w:tcPr>
          <w:p w14:paraId="0EEC71A1" w14:textId="77777777" w:rsidR="00890768" w:rsidRPr="005E3C13" w:rsidRDefault="008907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programa</w:t>
            </w:r>
          </w:p>
        </w:tc>
        <w:tc>
          <w:tcPr>
            <w:tcW w:w="2128" w:type="pct"/>
            <w:gridSpan w:val="2"/>
            <w:shd w:val="clear" w:color="auto" w:fill="auto"/>
          </w:tcPr>
          <w:p w14:paraId="1FCFEEAE" w14:textId="77777777" w:rsidR="00890768" w:rsidRPr="005E3C13" w:rsidRDefault="00890768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programa</w:t>
            </w:r>
          </w:p>
        </w:tc>
      </w:tr>
      <w:tr w:rsidR="00890768" w:rsidRPr="003A3C1D" w14:paraId="3BE84DE0" w14:textId="77777777">
        <w:tc>
          <w:tcPr>
            <w:tcW w:w="1203" w:type="pct"/>
            <w:shd w:val="clear" w:color="auto" w:fill="D9D9D9"/>
          </w:tcPr>
          <w:p w14:paraId="48C13BCC" w14:textId="77777777" w:rsidR="00890768" w:rsidRPr="003A3C1D" w:rsidRDefault="008907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3797" w:type="pct"/>
            <w:gridSpan w:val="4"/>
            <w:shd w:val="clear" w:color="auto" w:fill="auto"/>
          </w:tcPr>
          <w:p w14:paraId="381FED88" w14:textId="77777777" w:rsidR="00890768" w:rsidRPr="003A3C1D" w:rsidRDefault="00890768">
            <w:pPr>
              <w:jc w:val="both"/>
              <w:rPr>
                <w:bCs/>
                <w:color w:val="000000"/>
              </w:rPr>
            </w:pPr>
          </w:p>
        </w:tc>
      </w:tr>
      <w:tr w:rsidR="00890768" w:rsidRPr="009A2B51" w14:paraId="292E0048" w14:textId="77777777">
        <w:trPr>
          <w:trHeight w:val="218"/>
        </w:trPr>
        <w:tc>
          <w:tcPr>
            <w:tcW w:w="1203" w:type="pct"/>
            <w:shd w:val="clear" w:color="auto" w:fill="F2F2F2"/>
          </w:tcPr>
          <w:p w14:paraId="5A00718D" w14:textId="77777777" w:rsidR="00890768" w:rsidRPr="00AC2C3E" w:rsidRDefault="008907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Proračun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21" w:type="pct"/>
            <w:shd w:val="clear" w:color="auto" w:fill="F2F2F2"/>
          </w:tcPr>
          <w:p w14:paraId="5E110CA1" w14:textId="77777777" w:rsidR="00890768" w:rsidRPr="00AC2C3E" w:rsidRDefault="008907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I. Rebalans 202</w:t>
            </w: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79" w:type="pct"/>
            <w:gridSpan w:val="2"/>
            <w:shd w:val="clear" w:color="auto" w:fill="F2F2F2"/>
          </w:tcPr>
          <w:p w14:paraId="4F1E7798" w14:textId="77777777" w:rsidR="00890768" w:rsidRPr="00AC2C3E" w:rsidRDefault="008907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Iznos promjene</w:t>
            </w:r>
          </w:p>
        </w:tc>
        <w:tc>
          <w:tcPr>
            <w:tcW w:w="1279" w:type="pct"/>
          </w:tcPr>
          <w:p w14:paraId="5EDEECC4" w14:textId="77777777" w:rsidR="00890768" w:rsidRPr="00AC2C3E" w:rsidRDefault="008907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I. Rebalans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90768" w:rsidRPr="0033683A" w14:paraId="0141183C" w14:textId="77777777">
        <w:trPr>
          <w:trHeight w:val="218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A544" w14:textId="77777777" w:rsidR="00890768" w:rsidRPr="00B41766" w:rsidRDefault="00232C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3.981,68</w:t>
            </w:r>
            <w:r w:rsidR="00890768">
              <w:rPr>
                <w:bCs/>
                <w:color w:val="000000"/>
              </w:rPr>
              <w:t>€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1D1C" w14:textId="77777777" w:rsidR="00890768" w:rsidRPr="00B41766" w:rsidRDefault="00232C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6.914,08</w:t>
            </w:r>
            <w:r w:rsidR="00890768">
              <w:rPr>
                <w:bCs/>
                <w:color w:val="000000"/>
              </w:rPr>
              <w:t>€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9B3A" w14:textId="77777777" w:rsidR="00890768" w:rsidRPr="00B41766" w:rsidRDefault="00232C38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12.745,94</w:t>
            </w:r>
            <w:r w:rsidR="00890768">
              <w:rPr>
                <w:bCs/>
                <w:color w:val="000000"/>
              </w:rPr>
              <w:t>€</w:t>
            </w:r>
          </w:p>
        </w:tc>
        <w:tc>
          <w:tcPr>
            <w:tcW w:w="1279" w:type="pct"/>
          </w:tcPr>
          <w:p w14:paraId="4D8EFB07" w14:textId="77777777" w:rsidR="00890768" w:rsidRPr="00B41766" w:rsidRDefault="00232C38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19.660,02</w:t>
            </w:r>
            <w:r w:rsidR="00890768">
              <w:rPr>
                <w:bCs/>
                <w:color w:val="000000"/>
              </w:rPr>
              <w:t>€</w:t>
            </w:r>
          </w:p>
        </w:tc>
      </w:tr>
    </w:tbl>
    <w:p w14:paraId="394B5D5C" w14:textId="77777777" w:rsidR="00890768" w:rsidRDefault="00890768" w:rsidP="00890768">
      <w:pPr>
        <w:rPr>
          <w:color w:val="FF0000"/>
        </w:rPr>
      </w:pPr>
    </w:p>
    <w:p w14:paraId="1B4968AB" w14:textId="77777777" w:rsidR="00890768" w:rsidRDefault="00890768" w:rsidP="00890768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403"/>
        <w:gridCol w:w="1241"/>
        <w:gridCol w:w="1682"/>
        <w:gridCol w:w="1455"/>
        <w:gridCol w:w="1671"/>
      </w:tblGrid>
      <w:tr w:rsidR="00890768" w:rsidRPr="00466EA6" w14:paraId="1855273A" w14:textId="77777777">
        <w:trPr>
          <w:trHeight w:val="651"/>
        </w:trPr>
        <w:tc>
          <w:tcPr>
            <w:tcW w:w="888" w:type="pct"/>
            <w:shd w:val="clear" w:color="auto" w:fill="D9D9D9"/>
          </w:tcPr>
          <w:p w14:paraId="6A4129AE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774" w:type="pct"/>
            <w:shd w:val="clear" w:color="auto" w:fill="D9D9D9"/>
          </w:tcPr>
          <w:p w14:paraId="60E8F5F0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685" w:type="pct"/>
            <w:shd w:val="clear" w:color="auto" w:fill="D9D9D9"/>
          </w:tcPr>
          <w:p w14:paraId="642FF072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928" w:type="pct"/>
            <w:shd w:val="clear" w:color="auto" w:fill="D9D9D9"/>
          </w:tcPr>
          <w:p w14:paraId="1E2833B6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03" w:type="pct"/>
            <w:shd w:val="clear" w:color="auto" w:fill="D9D9D9"/>
          </w:tcPr>
          <w:p w14:paraId="07548EFC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922" w:type="pct"/>
            <w:shd w:val="clear" w:color="auto" w:fill="D9D9D9"/>
          </w:tcPr>
          <w:p w14:paraId="51FE000F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890768" w14:paraId="25D48663" w14:textId="77777777">
        <w:trPr>
          <w:trHeight w:val="219"/>
        </w:trPr>
        <w:tc>
          <w:tcPr>
            <w:tcW w:w="888" w:type="pct"/>
            <w:shd w:val="clear" w:color="auto" w:fill="auto"/>
          </w:tcPr>
          <w:p w14:paraId="15CEA581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14:paraId="33AFF9A4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</w:tcPr>
          <w:p w14:paraId="0108CFC4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auto"/>
          </w:tcPr>
          <w:p w14:paraId="4A1734BF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14:paraId="774F531C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</w:tcPr>
          <w:p w14:paraId="393448AA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</w:tr>
      <w:tr w:rsidR="00890768" w14:paraId="7B1A36C6" w14:textId="77777777">
        <w:trPr>
          <w:trHeight w:val="219"/>
        </w:trPr>
        <w:tc>
          <w:tcPr>
            <w:tcW w:w="888" w:type="pct"/>
            <w:shd w:val="clear" w:color="auto" w:fill="auto"/>
          </w:tcPr>
          <w:p w14:paraId="65345BA1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14:paraId="24AC1D43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</w:tcPr>
          <w:p w14:paraId="79EB4AC9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auto"/>
          </w:tcPr>
          <w:p w14:paraId="52A0EABE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14:paraId="025A6041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</w:tcPr>
          <w:p w14:paraId="602B604C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</w:tr>
      <w:tr w:rsidR="00890768" w14:paraId="23A6172D" w14:textId="77777777">
        <w:trPr>
          <w:trHeight w:val="219"/>
        </w:trPr>
        <w:tc>
          <w:tcPr>
            <w:tcW w:w="888" w:type="pct"/>
            <w:shd w:val="clear" w:color="auto" w:fill="auto"/>
          </w:tcPr>
          <w:p w14:paraId="37B441BE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14:paraId="194ADA96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</w:tcPr>
          <w:p w14:paraId="67B067AF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auto"/>
          </w:tcPr>
          <w:p w14:paraId="75869171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14:paraId="46869955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</w:tcPr>
          <w:p w14:paraId="34B52054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</w:tr>
    </w:tbl>
    <w:p w14:paraId="35D3D8F6" w14:textId="77777777" w:rsidR="00890768" w:rsidRDefault="00890768" w:rsidP="00890768">
      <w:pPr>
        <w:rPr>
          <w:color w:val="FF0000"/>
        </w:rPr>
      </w:pPr>
    </w:p>
    <w:p w14:paraId="1B373760" w14:textId="77777777" w:rsidR="00890768" w:rsidRDefault="00890768" w:rsidP="00890768">
      <w:pPr>
        <w:rPr>
          <w:color w:val="FF0000"/>
        </w:rPr>
      </w:pPr>
    </w:p>
    <w:p w14:paraId="305427D5" w14:textId="77777777" w:rsidR="00890768" w:rsidRPr="00640FFF" w:rsidRDefault="00890768" w:rsidP="00890768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1454"/>
        <w:gridCol w:w="5321"/>
      </w:tblGrid>
      <w:tr w:rsidR="00890768" w:rsidRPr="003A3C1D" w14:paraId="54F08542" w14:textId="77777777">
        <w:trPr>
          <w:trHeight w:val="517"/>
        </w:trPr>
        <w:tc>
          <w:tcPr>
            <w:tcW w:w="2331" w:type="dxa"/>
            <w:shd w:val="clear" w:color="auto" w:fill="D9D9D9"/>
          </w:tcPr>
          <w:p w14:paraId="2788D492" w14:textId="77777777" w:rsidR="00890768" w:rsidRPr="003A3C1D" w:rsidRDefault="0089076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14:paraId="474FB5BD" w14:textId="77777777" w:rsidR="00890768" w:rsidRDefault="008907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14:paraId="57FBDF30" w14:textId="77777777" w:rsidR="00890768" w:rsidRPr="005E3C13" w:rsidRDefault="00890768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</w:tc>
        <w:tc>
          <w:tcPr>
            <w:tcW w:w="5494" w:type="dxa"/>
            <w:shd w:val="clear" w:color="auto" w:fill="auto"/>
          </w:tcPr>
          <w:p w14:paraId="74AE11DF" w14:textId="77777777" w:rsidR="00890768" w:rsidRPr="005E3C13" w:rsidRDefault="00890768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  <w:r w:rsidR="00232C38">
              <w:rPr>
                <w:b/>
                <w:bCs/>
                <w:color w:val="000000"/>
              </w:rPr>
              <w:t xml:space="preserve"> </w:t>
            </w:r>
            <w:r w:rsidR="00147396">
              <w:rPr>
                <w:b/>
                <w:bCs/>
                <w:color w:val="000000"/>
              </w:rPr>
              <w:t xml:space="preserve"> PRIHODI</w:t>
            </w:r>
            <w:r w:rsidR="00232C38">
              <w:rPr>
                <w:b/>
                <w:bCs/>
                <w:color w:val="000000"/>
              </w:rPr>
              <w:t xml:space="preserve"> ZA POSEBNE NAMJENE PK</w:t>
            </w:r>
          </w:p>
        </w:tc>
      </w:tr>
      <w:tr w:rsidR="00890768" w:rsidRPr="003A3C1D" w14:paraId="1C74D355" w14:textId="77777777">
        <w:trPr>
          <w:trHeight w:val="517"/>
        </w:trPr>
        <w:tc>
          <w:tcPr>
            <w:tcW w:w="2331" w:type="dxa"/>
            <w:shd w:val="clear" w:color="auto" w:fill="D9D9D9"/>
          </w:tcPr>
          <w:p w14:paraId="2A350886" w14:textId="77777777" w:rsidR="00890768" w:rsidRPr="00AC2C3E" w:rsidRDefault="008907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4F94C476" w14:textId="77777777" w:rsidR="00232C38" w:rsidRPr="00A728D7" w:rsidRDefault="00232C38" w:rsidP="00232C38">
            <w:pPr>
              <w:rPr>
                <w:rFonts w:eastAsia="Symbol"/>
                <w:iCs/>
                <w:lang w:val="pl-PL"/>
              </w:rPr>
            </w:pPr>
            <w:r w:rsidRPr="00A728D7">
              <w:rPr>
                <w:rFonts w:eastAsia="Symbol"/>
                <w:iCs/>
                <w:lang w:val="pl-PL"/>
              </w:rPr>
              <w:t>Pravilnik o korištenju vlastitih prihoda</w:t>
            </w:r>
          </w:p>
          <w:p w14:paraId="1941BD29" w14:textId="77777777" w:rsidR="00232C38" w:rsidRPr="009C70DB" w:rsidRDefault="00232C38" w:rsidP="00232C38">
            <w:pPr>
              <w:rPr>
                <w:rFonts w:eastAsia="Symbol"/>
                <w:iCs/>
                <w:lang w:val="pl-PL"/>
              </w:rPr>
            </w:pPr>
            <w:r>
              <w:rPr>
                <w:rFonts w:eastAsia="Symbol"/>
                <w:iCs/>
                <w:lang w:val="pl-PL"/>
              </w:rPr>
              <w:t xml:space="preserve">Odluka Školskog odbora za utvrđene povećane troškove obrazovanja učenika prvih razreda od 15.06.2022. Kl:007-04/22-01/05 Ur.br.2181-336-22-01-6 </w:t>
            </w:r>
          </w:p>
          <w:p w14:paraId="0A027CA7" w14:textId="77777777" w:rsidR="00890768" w:rsidRPr="003A3C1D" w:rsidRDefault="00890768">
            <w:pPr>
              <w:rPr>
                <w:rFonts w:eastAsia="Symbol"/>
                <w:color w:val="000000"/>
                <w:lang w:val="pl-PL"/>
              </w:rPr>
            </w:pPr>
          </w:p>
        </w:tc>
      </w:tr>
      <w:tr w:rsidR="00FC2E0E" w:rsidRPr="003A3C1D" w14:paraId="351706D9" w14:textId="77777777">
        <w:trPr>
          <w:trHeight w:val="257"/>
        </w:trPr>
        <w:tc>
          <w:tcPr>
            <w:tcW w:w="2331" w:type="dxa"/>
            <w:shd w:val="clear" w:color="auto" w:fill="D9D9D9"/>
          </w:tcPr>
          <w:p w14:paraId="48DC345A" w14:textId="77777777" w:rsidR="00FC2E0E" w:rsidRPr="00AC2C3E" w:rsidRDefault="00FC2E0E" w:rsidP="00FC2E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42D13DAE" w14:textId="77777777" w:rsidR="00FC2E0E" w:rsidRPr="00FC2E0E" w:rsidRDefault="00FC2E0E" w:rsidP="00FC2E0E">
            <w:pPr>
              <w:spacing w:after="3" w:line="276" w:lineRule="auto"/>
              <w:ind w:left="16" w:right="2" w:hanging="10"/>
              <w:jc w:val="both"/>
              <w:rPr>
                <w:color w:val="000000"/>
              </w:rPr>
            </w:pPr>
            <w:r w:rsidRPr="00FC2E0E">
              <w:rPr>
                <w:color w:val="000000"/>
              </w:rPr>
              <w:t>Odgoj i obrazovanje mladeži i odraslih za stjecanje srednje stručne spreme iz područja elektrotehnike, strojarstva i obrade drva – obrazovanje odraslih</w:t>
            </w:r>
          </w:p>
          <w:p w14:paraId="70382602" w14:textId="77777777" w:rsidR="00FC2E0E" w:rsidRPr="003A3C1D" w:rsidRDefault="00FC2E0E" w:rsidP="00FC2E0E">
            <w:pPr>
              <w:jc w:val="both"/>
              <w:rPr>
                <w:bCs/>
                <w:color w:val="000000"/>
              </w:rPr>
            </w:pPr>
          </w:p>
        </w:tc>
      </w:tr>
      <w:tr w:rsidR="00FC2E0E" w:rsidRPr="003A3C1D" w14:paraId="413725CC" w14:textId="77777777">
        <w:trPr>
          <w:trHeight w:val="257"/>
        </w:trPr>
        <w:tc>
          <w:tcPr>
            <w:tcW w:w="2331" w:type="dxa"/>
            <w:shd w:val="clear" w:color="auto" w:fill="D9D9D9"/>
          </w:tcPr>
          <w:p w14:paraId="4F6E90DE" w14:textId="77777777" w:rsidR="00FC2E0E" w:rsidRPr="00AC2C3E" w:rsidRDefault="00FC2E0E" w:rsidP="00FC2E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izračuna financijskih sredstava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5FB86CEA" w14:textId="77777777" w:rsidR="00FC2E0E" w:rsidRPr="003A3C1D" w:rsidRDefault="00FC2E0E" w:rsidP="00FC2E0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Na osnovu realizacije. U tekućoj godinu su povećane zbog povečanog broja učenika, izdavanja duplikata svjedodžbi i organizacije stručnih putovanja za učenike </w:t>
            </w:r>
          </w:p>
        </w:tc>
      </w:tr>
      <w:tr w:rsidR="00FC2E0E" w:rsidRPr="003A3C1D" w14:paraId="7D254266" w14:textId="77777777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99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075"/>
              <w:gridCol w:w="2344"/>
              <w:gridCol w:w="2342"/>
            </w:tblGrid>
            <w:tr w:rsidR="00FC2E0E" w:rsidRPr="0033683A" w14:paraId="3721E8F9" w14:textId="77777777">
              <w:trPr>
                <w:trHeight w:val="219"/>
              </w:trPr>
              <w:tc>
                <w:tcPr>
                  <w:tcW w:w="1172" w:type="pct"/>
                  <w:shd w:val="clear" w:color="auto" w:fill="F2F2F2"/>
                </w:tcPr>
                <w:p w14:paraId="7BB1E650" w14:textId="77777777" w:rsidR="00FC2E0E" w:rsidRPr="00AC2C3E" w:rsidRDefault="00FC2E0E" w:rsidP="00FC2E0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Proračun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75" w:type="pct"/>
                  <w:shd w:val="clear" w:color="auto" w:fill="F2F2F2"/>
                </w:tcPr>
                <w:p w14:paraId="72DD77C8" w14:textId="77777777" w:rsidR="00FC2E0E" w:rsidRPr="00AC2C3E" w:rsidRDefault="00FC2E0E" w:rsidP="00FC2E0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I. Rebalans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27" w:type="pct"/>
                  <w:shd w:val="clear" w:color="auto" w:fill="F2F2F2"/>
                </w:tcPr>
                <w:p w14:paraId="35492313" w14:textId="77777777" w:rsidR="00FC2E0E" w:rsidRPr="00AC2C3E" w:rsidRDefault="00FC2E0E" w:rsidP="00FC2E0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Iznos promjene</w:t>
                  </w:r>
                </w:p>
              </w:tc>
              <w:tc>
                <w:tcPr>
                  <w:tcW w:w="1327" w:type="pct"/>
                  <w:shd w:val="clear" w:color="auto" w:fill="F2F2F2"/>
                </w:tcPr>
                <w:p w14:paraId="51D36DA3" w14:textId="77777777" w:rsidR="00FC2E0E" w:rsidRPr="00AC2C3E" w:rsidRDefault="00FC2E0E" w:rsidP="00FC2E0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I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I. Rebalans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FC2E0E" w:rsidRPr="00955E35" w14:paraId="474FC3D5" w14:textId="77777777">
              <w:trPr>
                <w:trHeight w:val="219"/>
              </w:trPr>
              <w:tc>
                <w:tcPr>
                  <w:tcW w:w="11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F35B5F" w14:textId="77777777" w:rsidR="00FC2E0E" w:rsidRPr="00B41766" w:rsidRDefault="00FC2E0E" w:rsidP="00FC2E0E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506DB" w14:textId="77777777" w:rsidR="00FC2E0E" w:rsidRPr="00B41766" w:rsidRDefault="00FC2E0E" w:rsidP="00FC2E0E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3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E4D401" w14:textId="77777777" w:rsidR="00FC2E0E" w:rsidRPr="00B41766" w:rsidRDefault="00FC2E0E" w:rsidP="00FC2E0E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3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5F90A" w14:textId="77777777" w:rsidR="00FC2E0E" w:rsidRPr="00B41766" w:rsidRDefault="00FC2E0E" w:rsidP="00FC2E0E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</w:tr>
          </w:tbl>
          <w:p w14:paraId="5A189BFE" w14:textId="77777777" w:rsidR="00FC2E0E" w:rsidRPr="003A3C1D" w:rsidRDefault="00FC2E0E" w:rsidP="00FC2E0E">
            <w:pPr>
              <w:rPr>
                <w:bCs/>
                <w:color w:val="000000"/>
              </w:rPr>
            </w:pPr>
          </w:p>
        </w:tc>
      </w:tr>
    </w:tbl>
    <w:p w14:paraId="19714F2C" w14:textId="77777777" w:rsidR="00890768" w:rsidRDefault="00890768" w:rsidP="00890768">
      <w:pPr>
        <w:rPr>
          <w:color w:val="FF0000"/>
        </w:rPr>
      </w:pPr>
    </w:p>
    <w:p w14:paraId="2AF7183D" w14:textId="77777777" w:rsidR="00890768" w:rsidRDefault="00890768" w:rsidP="00890768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050"/>
        <w:gridCol w:w="928"/>
        <w:gridCol w:w="1999"/>
        <w:gridCol w:w="1394"/>
        <w:gridCol w:w="1966"/>
      </w:tblGrid>
      <w:tr w:rsidR="00890768" w:rsidRPr="00466EA6" w14:paraId="16C9D4A3" w14:textId="77777777">
        <w:trPr>
          <w:trHeight w:val="651"/>
        </w:trPr>
        <w:tc>
          <w:tcPr>
            <w:tcW w:w="0" w:type="auto"/>
            <w:shd w:val="clear" w:color="auto" w:fill="D9D9D9"/>
          </w:tcPr>
          <w:p w14:paraId="64699A0D" w14:textId="77777777" w:rsidR="00890768" w:rsidRPr="00AD6019" w:rsidRDefault="00890768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14:paraId="4247BFE9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559A29A8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163CEDF9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3A821810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2BE1F6E7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890768" w14:paraId="0E8A72A0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57EF2716" w14:textId="77777777" w:rsidR="00890768" w:rsidRPr="00156DB2" w:rsidRDefault="008907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CBB67D6" w14:textId="77777777" w:rsidR="00890768" w:rsidRPr="00156DB2" w:rsidRDefault="008907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C8B455A" w14:textId="77777777" w:rsidR="00890768" w:rsidRPr="00156DB2" w:rsidRDefault="008907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5F0418B" w14:textId="77777777" w:rsidR="00890768" w:rsidRPr="00156DB2" w:rsidRDefault="008907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D0F6602" w14:textId="77777777" w:rsidR="00890768" w:rsidRPr="00156DB2" w:rsidRDefault="008907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2C945E0" w14:textId="77777777" w:rsidR="00890768" w:rsidRPr="00156DB2" w:rsidRDefault="00890768">
            <w:pPr>
              <w:rPr>
                <w:sz w:val="22"/>
                <w:szCs w:val="22"/>
              </w:rPr>
            </w:pPr>
          </w:p>
        </w:tc>
      </w:tr>
      <w:tr w:rsidR="00890768" w14:paraId="30EBB821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705C2C34" w14:textId="77777777" w:rsidR="00890768" w:rsidRPr="00156DB2" w:rsidRDefault="008907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B18BD0E" w14:textId="77777777" w:rsidR="00890768" w:rsidRPr="00156DB2" w:rsidRDefault="008907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F1986CC" w14:textId="77777777" w:rsidR="00890768" w:rsidRPr="00156DB2" w:rsidRDefault="008907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55093E" w14:textId="77777777" w:rsidR="00890768" w:rsidRPr="00156DB2" w:rsidRDefault="008907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6504DCA" w14:textId="77777777" w:rsidR="00890768" w:rsidRPr="00156DB2" w:rsidRDefault="008907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1C5160C" w14:textId="77777777" w:rsidR="00890768" w:rsidRPr="00156DB2" w:rsidRDefault="00890768">
            <w:pPr>
              <w:rPr>
                <w:sz w:val="22"/>
                <w:szCs w:val="22"/>
              </w:rPr>
            </w:pPr>
          </w:p>
        </w:tc>
      </w:tr>
      <w:tr w:rsidR="00890768" w14:paraId="2F5BA413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5E03A7DF" w14:textId="77777777" w:rsidR="00890768" w:rsidRPr="00156DB2" w:rsidRDefault="008907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D4C06B4" w14:textId="77777777" w:rsidR="00890768" w:rsidRPr="00156DB2" w:rsidRDefault="008907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8AA086B" w14:textId="77777777" w:rsidR="00890768" w:rsidRPr="00156DB2" w:rsidRDefault="008907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E11F9B1" w14:textId="77777777" w:rsidR="00890768" w:rsidRPr="00156DB2" w:rsidRDefault="008907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2A4C8DB" w14:textId="77777777" w:rsidR="00890768" w:rsidRPr="00156DB2" w:rsidRDefault="008907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6BA2CF7" w14:textId="77777777" w:rsidR="00890768" w:rsidRPr="00156DB2" w:rsidRDefault="00890768">
            <w:pPr>
              <w:rPr>
                <w:sz w:val="22"/>
                <w:szCs w:val="22"/>
              </w:rPr>
            </w:pPr>
          </w:p>
        </w:tc>
      </w:tr>
    </w:tbl>
    <w:p w14:paraId="69B23B0A" w14:textId="77777777" w:rsidR="00890768" w:rsidRDefault="00890768" w:rsidP="00890768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213"/>
        <w:gridCol w:w="812"/>
        <w:gridCol w:w="1506"/>
        <w:gridCol w:w="2351"/>
      </w:tblGrid>
      <w:tr w:rsidR="00890768" w:rsidRPr="003A3C1D" w14:paraId="48CBE84D" w14:textId="77777777">
        <w:tc>
          <w:tcPr>
            <w:tcW w:w="1203" w:type="pct"/>
            <w:shd w:val="clear" w:color="auto" w:fill="D9D9D9"/>
          </w:tcPr>
          <w:p w14:paraId="758FF0E5" w14:textId="77777777" w:rsidR="00890768" w:rsidRPr="003A3C1D" w:rsidRDefault="0089076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1669" w:type="pct"/>
            <w:gridSpan w:val="2"/>
            <w:shd w:val="clear" w:color="auto" w:fill="auto"/>
          </w:tcPr>
          <w:p w14:paraId="2E1965E5" w14:textId="77777777" w:rsidR="00890768" w:rsidRPr="005E3C13" w:rsidRDefault="008907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programa</w:t>
            </w:r>
          </w:p>
        </w:tc>
        <w:tc>
          <w:tcPr>
            <w:tcW w:w="2128" w:type="pct"/>
            <w:gridSpan w:val="2"/>
            <w:shd w:val="clear" w:color="auto" w:fill="auto"/>
          </w:tcPr>
          <w:p w14:paraId="1F66E0D4" w14:textId="77777777" w:rsidR="00890768" w:rsidRPr="005E3C13" w:rsidRDefault="00890768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programa</w:t>
            </w:r>
          </w:p>
        </w:tc>
      </w:tr>
      <w:tr w:rsidR="00890768" w:rsidRPr="003A3C1D" w14:paraId="130B00D9" w14:textId="77777777">
        <w:tc>
          <w:tcPr>
            <w:tcW w:w="1203" w:type="pct"/>
            <w:shd w:val="clear" w:color="auto" w:fill="D9D9D9"/>
          </w:tcPr>
          <w:p w14:paraId="519BB028" w14:textId="77777777" w:rsidR="00890768" w:rsidRPr="003A3C1D" w:rsidRDefault="008907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3797" w:type="pct"/>
            <w:gridSpan w:val="4"/>
            <w:shd w:val="clear" w:color="auto" w:fill="auto"/>
          </w:tcPr>
          <w:p w14:paraId="5CC1D4BB" w14:textId="77777777" w:rsidR="00890768" w:rsidRPr="003A3C1D" w:rsidRDefault="00890768">
            <w:pPr>
              <w:jc w:val="both"/>
              <w:rPr>
                <w:bCs/>
                <w:color w:val="000000"/>
              </w:rPr>
            </w:pPr>
          </w:p>
        </w:tc>
      </w:tr>
      <w:tr w:rsidR="00890768" w:rsidRPr="009A2B51" w14:paraId="4F47A302" w14:textId="77777777">
        <w:trPr>
          <w:trHeight w:val="218"/>
        </w:trPr>
        <w:tc>
          <w:tcPr>
            <w:tcW w:w="1203" w:type="pct"/>
            <w:shd w:val="clear" w:color="auto" w:fill="F2F2F2"/>
          </w:tcPr>
          <w:p w14:paraId="282C426D" w14:textId="77777777" w:rsidR="00890768" w:rsidRPr="00AC2C3E" w:rsidRDefault="008907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Proračun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21" w:type="pct"/>
            <w:shd w:val="clear" w:color="auto" w:fill="F2F2F2"/>
          </w:tcPr>
          <w:p w14:paraId="44FD0EE9" w14:textId="77777777" w:rsidR="00890768" w:rsidRPr="00AC2C3E" w:rsidRDefault="008907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I. Rebalans 202</w:t>
            </w: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79" w:type="pct"/>
            <w:gridSpan w:val="2"/>
            <w:shd w:val="clear" w:color="auto" w:fill="F2F2F2"/>
          </w:tcPr>
          <w:p w14:paraId="3B31ED24" w14:textId="77777777" w:rsidR="00890768" w:rsidRPr="00AC2C3E" w:rsidRDefault="008907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Iznos promjene</w:t>
            </w:r>
          </w:p>
        </w:tc>
        <w:tc>
          <w:tcPr>
            <w:tcW w:w="1279" w:type="pct"/>
          </w:tcPr>
          <w:p w14:paraId="05635885" w14:textId="77777777" w:rsidR="00890768" w:rsidRPr="00AC2C3E" w:rsidRDefault="008907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I. Rebalans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90768" w:rsidRPr="0033683A" w14:paraId="33B28F6E" w14:textId="77777777">
        <w:trPr>
          <w:trHeight w:val="218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6284" w14:textId="77777777" w:rsidR="00890768" w:rsidRPr="00B41766" w:rsidRDefault="0089076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€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0CD0" w14:textId="77777777" w:rsidR="00890768" w:rsidRPr="00B41766" w:rsidRDefault="00F33F3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890768">
              <w:rPr>
                <w:bCs/>
                <w:color w:val="000000"/>
              </w:rPr>
              <w:t>€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5D82" w14:textId="77777777" w:rsidR="00890768" w:rsidRPr="00B41766" w:rsidRDefault="00F33F3C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275,00</w:t>
            </w:r>
            <w:r w:rsidR="00890768">
              <w:rPr>
                <w:bCs/>
                <w:color w:val="000000"/>
              </w:rPr>
              <w:t>€</w:t>
            </w:r>
          </w:p>
        </w:tc>
        <w:tc>
          <w:tcPr>
            <w:tcW w:w="1279" w:type="pct"/>
          </w:tcPr>
          <w:p w14:paraId="7ED104D0" w14:textId="77777777" w:rsidR="00890768" w:rsidRPr="00B41766" w:rsidRDefault="00F33F3C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275,00</w:t>
            </w:r>
            <w:r w:rsidR="00890768">
              <w:rPr>
                <w:bCs/>
                <w:color w:val="000000"/>
              </w:rPr>
              <w:t>€</w:t>
            </w:r>
          </w:p>
        </w:tc>
      </w:tr>
    </w:tbl>
    <w:p w14:paraId="64355024" w14:textId="77777777" w:rsidR="00890768" w:rsidRDefault="00890768" w:rsidP="00890768">
      <w:pPr>
        <w:rPr>
          <w:color w:val="FF0000"/>
        </w:rPr>
      </w:pPr>
    </w:p>
    <w:p w14:paraId="6C506578" w14:textId="77777777" w:rsidR="00890768" w:rsidRDefault="00890768" w:rsidP="00890768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403"/>
        <w:gridCol w:w="1241"/>
        <w:gridCol w:w="1682"/>
        <w:gridCol w:w="1455"/>
        <w:gridCol w:w="1671"/>
      </w:tblGrid>
      <w:tr w:rsidR="00890768" w:rsidRPr="00466EA6" w14:paraId="2735C072" w14:textId="77777777">
        <w:trPr>
          <w:trHeight w:val="651"/>
        </w:trPr>
        <w:tc>
          <w:tcPr>
            <w:tcW w:w="888" w:type="pct"/>
            <w:shd w:val="clear" w:color="auto" w:fill="D9D9D9"/>
          </w:tcPr>
          <w:p w14:paraId="6351981D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774" w:type="pct"/>
            <w:shd w:val="clear" w:color="auto" w:fill="D9D9D9"/>
          </w:tcPr>
          <w:p w14:paraId="4C45838D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685" w:type="pct"/>
            <w:shd w:val="clear" w:color="auto" w:fill="D9D9D9"/>
          </w:tcPr>
          <w:p w14:paraId="21D48B18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928" w:type="pct"/>
            <w:shd w:val="clear" w:color="auto" w:fill="D9D9D9"/>
          </w:tcPr>
          <w:p w14:paraId="71E8ED82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03" w:type="pct"/>
            <w:shd w:val="clear" w:color="auto" w:fill="D9D9D9"/>
          </w:tcPr>
          <w:p w14:paraId="0FEC939C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922" w:type="pct"/>
            <w:shd w:val="clear" w:color="auto" w:fill="D9D9D9"/>
          </w:tcPr>
          <w:p w14:paraId="01E7730F" w14:textId="77777777" w:rsidR="00890768" w:rsidRPr="00AD6019" w:rsidRDefault="0089076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890768" w14:paraId="662E916F" w14:textId="77777777">
        <w:trPr>
          <w:trHeight w:val="219"/>
        </w:trPr>
        <w:tc>
          <w:tcPr>
            <w:tcW w:w="888" w:type="pct"/>
            <w:shd w:val="clear" w:color="auto" w:fill="auto"/>
          </w:tcPr>
          <w:p w14:paraId="54249F85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14:paraId="1C089473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</w:tcPr>
          <w:p w14:paraId="1033BF2C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auto"/>
          </w:tcPr>
          <w:p w14:paraId="2C39A1B9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14:paraId="39FE0C86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</w:tcPr>
          <w:p w14:paraId="6233541C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</w:tr>
      <w:tr w:rsidR="00890768" w14:paraId="28DCC031" w14:textId="77777777">
        <w:trPr>
          <w:trHeight w:val="219"/>
        </w:trPr>
        <w:tc>
          <w:tcPr>
            <w:tcW w:w="888" w:type="pct"/>
            <w:shd w:val="clear" w:color="auto" w:fill="auto"/>
          </w:tcPr>
          <w:p w14:paraId="238E324E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14:paraId="212CB227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</w:tcPr>
          <w:p w14:paraId="4ABB5783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auto"/>
          </w:tcPr>
          <w:p w14:paraId="10191229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14:paraId="2CDA7301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</w:tcPr>
          <w:p w14:paraId="537ACB79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</w:tr>
      <w:tr w:rsidR="00890768" w14:paraId="0019169C" w14:textId="77777777">
        <w:trPr>
          <w:trHeight w:val="219"/>
        </w:trPr>
        <w:tc>
          <w:tcPr>
            <w:tcW w:w="888" w:type="pct"/>
            <w:shd w:val="clear" w:color="auto" w:fill="auto"/>
          </w:tcPr>
          <w:p w14:paraId="37C5EC78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14:paraId="3F0D9B2D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</w:tcPr>
          <w:p w14:paraId="0806D030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auto"/>
          </w:tcPr>
          <w:p w14:paraId="086D75D1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14:paraId="6A4D8520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</w:tcPr>
          <w:p w14:paraId="3AF9114A" w14:textId="77777777" w:rsidR="00890768" w:rsidRPr="00D55D1F" w:rsidRDefault="00890768">
            <w:pPr>
              <w:rPr>
                <w:sz w:val="22"/>
                <w:szCs w:val="22"/>
              </w:rPr>
            </w:pPr>
          </w:p>
        </w:tc>
      </w:tr>
    </w:tbl>
    <w:p w14:paraId="5D85002A" w14:textId="77777777" w:rsidR="00890768" w:rsidRDefault="00890768" w:rsidP="00890768">
      <w:pPr>
        <w:rPr>
          <w:color w:val="FF0000"/>
        </w:rPr>
      </w:pPr>
    </w:p>
    <w:p w14:paraId="52642C84" w14:textId="77777777" w:rsidR="00890768" w:rsidRDefault="00890768" w:rsidP="00890768">
      <w:pPr>
        <w:rPr>
          <w:color w:val="FF0000"/>
        </w:rPr>
      </w:pPr>
    </w:p>
    <w:p w14:paraId="680CA296" w14:textId="77777777" w:rsidR="00890768" w:rsidRPr="00640FFF" w:rsidRDefault="00890768" w:rsidP="00890768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1454"/>
        <w:gridCol w:w="5321"/>
      </w:tblGrid>
      <w:tr w:rsidR="00890768" w:rsidRPr="003A3C1D" w14:paraId="18EA6B1C" w14:textId="77777777">
        <w:trPr>
          <w:trHeight w:val="517"/>
        </w:trPr>
        <w:tc>
          <w:tcPr>
            <w:tcW w:w="2331" w:type="dxa"/>
            <w:shd w:val="clear" w:color="auto" w:fill="D9D9D9"/>
          </w:tcPr>
          <w:p w14:paraId="47C63E24" w14:textId="77777777" w:rsidR="00890768" w:rsidRPr="003A3C1D" w:rsidRDefault="0089076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14:paraId="1B4AC944" w14:textId="77777777" w:rsidR="00890768" w:rsidRDefault="008907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14:paraId="1F17F58B" w14:textId="77777777" w:rsidR="00890768" w:rsidRPr="005E3C13" w:rsidRDefault="00890768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</w:tc>
        <w:tc>
          <w:tcPr>
            <w:tcW w:w="5494" w:type="dxa"/>
            <w:shd w:val="clear" w:color="auto" w:fill="auto"/>
          </w:tcPr>
          <w:p w14:paraId="7533A60B" w14:textId="77777777" w:rsidR="00890768" w:rsidRDefault="00890768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14:paraId="5975D7F3" w14:textId="77777777" w:rsidR="00890768" w:rsidRPr="005E3C13" w:rsidRDefault="00F33F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DONACIJE</w:t>
            </w:r>
          </w:p>
        </w:tc>
      </w:tr>
      <w:tr w:rsidR="00890768" w:rsidRPr="003A3C1D" w14:paraId="4A7CA7B4" w14:textId="77777777">
        <w:trPr>
          <w:trHeight w:val="517"/>
        </w:trPr>
        <w:tc>
          <w:tcPr>
            <w:tcW w:w="2331" w:type="dxa"/>
            <w:shd w:val="clear" w:color="auto" w:fill="D9D9D9"/>
          </w:tcPr>
          <w:p w14:paraId="741BBEE0" w14:textId="77777777" w:rsidR="00890768" w:rsidRPr="00AC2C3E" w:rsidRDefault="008907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67768FEF" w14:textId="77777777" w:rsidR="00890768" w:rsidRPr="003A3C1D" w:rsidRDefault="00F33F3C">
            <w:pPr>
              <w:rPr>
                <w:rFonts w:eastAsia="Symbol"/>
                <w:color w:val="000000"/>
                <w:lang w:val="pl-PL"/>
              </w:rPr>
            </w:pPr>
            <w:r>
              <w:rPr>
                <w:rFonts w:eastAsia="Symbol"/>
                <w:color w:val="000000"/>
                <w:lang w:val="pl-PL"/>
              </w:rPr>
              <w:t>Odluka o donaciji</w:t>
            </w:r>
          </w:p>
        </w:tc>
      </w:tr>
      <w:tr w:rsidR="00890768" w:rsidRPr="003A3C1D" w14:paraId="4AD91B17" w14:textId="77777777">
        <w:trPr>
          <w:trHeight w:val="257"/>
        </w:trPr>
        <w:tc>
          <w:tcPr>
            <w:tcW w:w="2331" w:type="dxa"/>
            <w:shd w:val="clear" w:color="auto" w:fill="D9D9D9"/>
          </w:tcPr>
          <w:p w14:paraId="2B3A831A" w14:textId="77777777" w:rsidR="00890768" w:rsidRPr="00AC2C3E" w:rsidRDefault="008907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7EC446B2" w14:textId="77777777" w:rsidR="00890768" w:rsidRPr="003A3C1D" w:rsidRDefault="00F33F3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Odgoj i obrazovanje mladeži i uključivanje u šprtske aktivnosti</w:t>
            </w:r>
          </w:p>
        </w:tc>
      </w:tr>
      <w:tr w:rsidR="00890768" w:rsidRPr="003A3C1D" w14:paraId="5CD3F653" w14:textId="77777777">
        <w:trPr>
          <w:trHeight w:val="257"/>
        </w:trPr>
        <w:tc>
          <w:tcPr>
            <w:tcW w:w="2331" w:type="dxa"/>
            <w:shd w:val="clear" w:color="auto" w:fill="D9D9D9"/>
          </w:tcPr>
          <w:p w14:paraId="05F12816" w14:textId="77777777" w:rsidR="00890768" w:rsidRPr="00AC2C3E" w:rsidRDefault="008907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izračuna financijskih sredstava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0F9B8898" w14:textId="77777777" w:rsidR="00890768" w:rsidRPr="003A3C1D" w:rsidRDefault="00F33F3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Na osnovu primljene donacije Županijskog saveza školskog sporta za kupnju nogometne mreže.</w:t>
            </w:r>
          </w:p>
        </w:tc>
      </w:tr>
    </w:tbl>
    <w:p w14:paraId="4A9DB674" w14:textId="77777777" w:rsidR="00890768" w:rsidRDefault="00890768" w:rsidP="00890768">
      <w:pPr>
        <w:rPr>
          <w:color w:val="FF0000"/>
        </w:rPr>
      </w:pPr>
    </w:p>
    <w:p w14:paraId="1F6D53FD" w14:textId="77777777" w:rsidR="00890768" w:rsidRDefault="00890768" w:rsidP="00890768">
      <w:pPr>
        <w:rPr>
          <w:color w:val="FF0000"/>
        </w:rPr>
      </w:pPr>
    </w:p>
    <w:p w14:paraId="403BCE34" w14:textId="77777777" w:rsidR="00890768" w:rsidRDefault="00890768" w:rsidP="00890768">
      <w:pPr>
        <w:rPr>
          <w:color w:val="FF0000"/>
        </w:rPr>
      </w:pPr>
    </w:p>
    <w:p w14:paraId="51626AB2" w14:textId="77777777" w:rsidR="00420AD3" w:rsidRDefault="00420AD3" w:rsidP="005D1372">
      <w:pPr>
        <w:rPr>
          <w:color w:val="FF0000"/>
        </w:rPr>
      </w:pPr>
    </w:p>
    <w:sectPr w:rsidR="00420A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7BE8" w14:textId="77777777" w:rsidR="00AF0427" w:rsidRDefault="00AF0427" w:rsidP="00DC4E8B">
      <w:r>
        <w:separator/>
      </w:r>
    </w:p>
  </w:endnote>
  <w:endnote w:type="continuationSeparator" w:id="0">
    <w:p w14:paraId="79467412" w14:textId="77777777" w:rsidR="00AF0427" w:rsidRDefault="00AF0427" w:rsidP="00DC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5288" w14:textId="77777777" w:rsidR="00DC4E8B" w:rsidRPr="00E73FE4" w:rsidRDefault="00C964D5" w:rsidP="00C964D5">
    <w:pPr>
      <w:pStyle w:val="Podnoje"/>
      <w:jc w:val="right"/>
      <w:rPr>
        <w:i/>
        <w:color w:val="A6A6A6"/>
        <w:sz w:val="20"/>
        <w:szCs w:val="20"/>
      </w:rPr>
    </w:pPr>
    <w:r w:rsidRPr="00E73FE4">
      <w:rPr>
        <w:i/>
        <w:color w:val="A6A6A6"/>
        <w:sz w:val="20"/>
        <w:szCs w:val="20"/>
      </w:rPr>
      <w:t>Obrazac2_</w:t>
    </w:r>
    <w:r w:rsidR="00DC4E8B" w:rsidRPr="00E73FE4">
      <w:rPr>
        <w:i/>
        <w:color w:val="A6A6A6"/>
        <w:sz w:val="20"/>
        <w:szCs w:val="20"/>
      </w:rPr>
      <w:t>Obrazloženje Posebnog dijela Financijskog plana</w:t>
    </w:r>
    <w:r w:rsidRPr="00E73FE4">
      <w:rPr>
        <w:i/>
        <w:color w:val="A6A6A6"/>
        <w:sz w:val="20"/>
        <w:szCs w:val="20"/>
      </w:rPr>
      <w:t>/Proračuna</w:t>
    </w:r>
  </w:p>
  <w:p w14:paraId="3A8719A0" w14:textId="77777777" w:rsidR="00DC4E8B" w:rsidRDefault="00DC4E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7BC9" w14:textId="77777777" w:rsidR="00AF0427" w:rsidRDefault="00AF0427" w:rsidP="00DC4E8B">
      <w:r>
        <w:separator/>
      </w:r>
    </w:p>
  </w:footnote>
  <w:footnote w:type="continuationSeparator" w:id="0">
    <w:p w14:paraId="0232ADCD" w14:textId="77777777" w:rsidR="00AF0427" w:rsidRDefault="00AF0427" w:rsidP="00DC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D47"/>
    <w:multiLevelType w:val="hybridMultilevel"/>
    <w:tmpl w:val="62BE71E4"/>
    <w:lvl w:ilvl="0" w:tplc="AE30E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90F74"/>
    <w:multiLevelType w:val="hybridMultilevel"/>
    <w:tmpl w:val="208AB2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92817"/>
    <w:multiLevelType w:val="hybridMultilevel"/>
    <w:tmpl w:val="FE72ED4A"/>
    <w:lvl w:ilvl="0" w:tplc="66DEE2BC">
      <w:start w:val="1"/>
      <w:numFmt w:val="bullet"/>
      <w:lvlText w:val="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D38BB"/>
    <w:multiLevelType w:val="hybridMultilevel"/>
    <w:tmpl w:val="4894C02A"/>
    <w:lvl w:ilvl="0" w:tplc="D87454A2">
      <w:start w:val="1"/>
      <w:numFmt w:val="bullet"/>
      <w:lvlText w:val="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4247A"/>
    <w:multiLevelType w:val="hybridMultilevel"/>
    <w:tmpl w:val="4912CE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9C2978"/>
    <w:multiLevelType w:val="hybridMultilevel"/>
    <w:tmpl w:val="1DC8E39A"/>
    <w:lvl w:ilvl="0" w:tplc="23F2669C">
      <w:start w:val="1"/>
      <w:numFmt w:val="bullet"/>
      <w:lvlText w:val="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F45E1"/>
    <w:multiLevelType w:val="hybridMultilevel"/>
    <w:tmpl w:val="6C1254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A18AB"/>
    <w:multiLevelType w:val="hybridMultilevel"/>
    <w:tmpl w:val="F7FC16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516C9B"/>
    <w:multiLevelType w:val="hybridMultilevel"/>
    <w:tmpl w:val="7D92D44E"/>
    <w:lvl w:ilvl="0" w:tplc="49FEE398">
      <w:start w:val="1"/>
      <w:numFmt w:val="bullet"/>
      <w:lvlText w:val="-"/>
      <w:lvlJc w:val="left"/>
      <w:pPr>
        <w:ind w:left="70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C46E30E0">
      <w:start w:val="1"/>
      <w:numFmt w:val="bullet"/>
      <w:lvlText w:val="o"/>
      <w:lvlJc w:val="left"/>
      <w:pPr>
        <w:ind w:left="14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80444DEE">
      <w:start w:val="1"/>
      <w:numFmt w:val="bullet"/>
      <w:lvlText w:val="▪"/>
      <w:lvlJc w:val="left"/>
      <w:pPr>
        <w:ind w:left="21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F214795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577EE47C">
      <w:start w:val="1"/>
      <w:numFmt w:val="bullet"/>
      <w:lvlText w:val="o"/>
      <w:lvlJc w:val="left"/>
      <w:pPr>
        <w:ind w:left="36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F29E56CE">
      <w:start w:val="1"/>
      <w:numFmt w:val="bullet"/>
      <w:lvlText w:val="▪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B218BA6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4BD0F9EC">
      <w:start w:val="1"/>
      <w:numFmt w:val="bullet"/>
      <w:lvlText w:val="o"/>
      <w:lvlJc w:val="left"/>
      <w:pPr>
        <w:ind w:left="57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9560332C">
      <w:start w:val="1"/>
      <w:numFmt w:val="bullet"/>
      <w:lvlText w:val="▪"/>
      <w:lvlJc w:val="left"/>
      <w:pPr>
        <w:ind w:left="64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9" w15:restartNumberingAfterBreak="0">
    <w:nsid w:val="77F243C0"/>
    <w:multiLevelType w:val="hybridMultilevel"/>
    <w:tmpl w:val="CC2E74D8"/>
    <w:lvl w:ilvl="0" w:tplc="357AF762">
      <w:start w:val="1"/>
      <w:numFmt w:val="bullet"/>
      <w:lvlText w:val="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2414280">
    <w:abstractNumId w:val="9"/>
  </w:num>
  <w:num w:numId="2" w16cid:durableId="1518959685">
    <w:abstractNumId w:val="3"/>
  </w:num>
  <w:num w:numId="3" w16cid:durableId="757798737">
    <w:abstractNumId w:val="2"/>
  </w:num>
  <w:num w:numId="4" w16cid:durableId="759453322">
    <w:abstractNumId w:val="1"/>
  </w:num>
  <w:num w:numId="5" w16cid:durableId="992945890">
    <w:abstractNumId w:val="0"/>
  </w:num>
  <w:num w:numId="6" w16cid:durableId="1830321640">
    <w:abstractNumId w:val="7"/>
  </w:num>
  <w:num w:numId="7" w16cid:durableId="1975795532">
    <w:abstractNumId w:val="6"/>
  </w:num>
  <w:num w:numId="8" w16cid:durableId="1960406914">
    <w:abstractNumId w:val="4"/>
  </w:num>
  <w:num w:numId="9" w16cid:durableId="623387314">
    <w:abstractNumId w:val="5"/>
  </w:num>
  <w:num w:numId="10" w16cid:durableId="13674837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5B"/>
    <w:rsid w:val="00002ABC"/>
    <w:rsid w:val="0000522D"/>
    <w:rsid w:val="00007FC0"/>
    <w:rsid w:val="00013CE2"/>
    <w:rsid w:val="00027DAE"/>
    <w:rsid w:val="00030ACB"/>
    <w:rsid w:val="0003168A"/>
    <w:rsid w:val="00031C88"/>
    <w:rsid w:val="00040AF7"/>
    <w:rsid w:val="00044343"/>
    <w:rsid w:val="00046314"/>
    <w:rsid w:val="00052518"/>
    <w:rsid w:val="000553DF"/>
    <w:rsid w:val="000631A5"/>
    <w:rsid w:val="000661D5"/>
    <w:rsid w:val="00067AAB"/>
    <w:rsid w:val="00071631"/>
    <w:rsid w:val="0007344B"/>
    <w:rsid w:val="00076099"/>
    <w:rsid w:val="00083405"/>
    <w:rsid w:val="0008536C"/>
    <w:rsid w:val="0008543D"/>
    <w:rsid w:val="000862D0"/>
    <w:rsid w:val="000962A5"/>
    <w:rsid w:val="00096D97"/>
    <w:rsid w:val="000A1230"/>
    <w:rsid w:val="000A36F3"/>
    <w:rsid w:val="000A489B"/>
    <w:rsid w:val="000A5AF3"/>
    <w:rsid w:val="000A77EC"/>
    <w:rsid w:val="000B1BB3"/>
    <w:rsid w:val="000B4544"/>
    <w:rsid w:val="000B45B9"/>
    <w:rsid w:val="000B4D29"/>
    <w:rsid w:val="000C4829"/>
    <w:rsid w:val="000C5E0F"/>
    <w:rsid w:val="000E4FFD"/>
    <w:rsid w:val="000E7527"/>
    <w:rsid w:val="000F2114"/>
    <w:rsid w:val="0010399D"/>
    <w:rsid w:val="001043DE"/>
    <w:rsid w:val="001056E0"/>
    <w:rsid w:val="00106025"/>
    <w:rsid w:val="0010757F"/>
    <w:rsid w:val="00112CAF"/>
    <w:rsid w:val="00113BDB"/>
    <w:rsid w:val="00116364"/>
    <w:rsid w:val="001240C2"/>
    <w:rsid w:val="00127C02"/>
    <w:rsid w:val="00133645"/>
    <w:rsid w:val="0013698D"/>
    <w:rsid w:val="00137E53"/>
    <w:rsid w:val="00140EDA"/>
    <w:rsid w:val="00142FAE"/>
    <w:rsid w:val="00146501"/>
    <w:rsid w:val="00147396"/>
    <w:rsid w:val="00156DB2"/>
    <w:rsid w:val="0015728A"/>
    <w:rsid w:val="00157F9D"/>
    <w:rsid w:val="00160094"/>
    <w:rsid w:val="00160411"/>
    <w:rsid w:val="00160549"/>
    <w:rsid w:val="00165D43"/>
    <w:rsid w:val="00170522"/>
    <w:rsid w:val="00171A25"/>
    <w:rsid w:val="00173473"/>
    <w:rsid w:val="00173B75"/>
    <w:rsid w:val="00190B5B"/>
    <w:rsid w:val="00190D74"/>
    <w:rsid w:val="0019246C"/>
    <w:rsid w:val="001A192E"/>
    <w:rsid w:val="001A4E7F"/>
    <w:rsid w:val="001A7BA5"/>
    <w:rsid w:val="001B0DD5"/>
    <w:rsid w:val="001B1363"/>
    <w:rsid w:val="001B72D7"/>
    <w:rsid w:val="001B7D1F"/>
    <w:rsid w:val="001C0FD9"/>
    <w:rsid w:val="001C23F9"/>
    <w:rsid w:val="001D1CE1"/>
    <w:rsid w:val="001D21E5"/>
    <w:rsid w:val="001E1E4F"/>
    <w:rsid w:val="001E421F"/>
    <w:rsid w:val="001F3842"/>
    <w:rsid w:val="002001C8"/>
    <w:rsid w:val="002022DD"/>
    <w:rsid w:val="00202925"/>
    <w:rsid w:val="00204481"/>
    <w:rsid w:val="00204D63"/>
    <w:rsid w:val="002072E4"/>
    <w:rsid w:val="002179FF"/>
    <w:rsid w:val="00230D53"/>
    <w:rsid w:val="00232C38"/>
    <w:rsid w:val="00240E52"/>
    <w:rsid w:val="00241578"/>
    <w:rsid w:val="0024172C"/>
    <w:rsid w:val="00241CB4"/>
    <w:rsid w:val="00243DF2"/>
    <w:rsid w:val="0025346E"/>
    <w:rsid w:val="00260114"/>
    <w:rsid w:val="00261FEA"/>
    <w:rsid w:val="00262F03"/>
    <w:rsid w:val="002700AC"/>
    <w:rsid w:val="00285E89"/>
    <w:rsid w:val="00297B73"/>
    <w:rsid w:val="002A0E6F"/>
    <w:rsid w:val="002A1946"/>
    <w:rsid w:val="002A2893"/>
    <w:rsid w:val="002B02B2"/>
    <w:rsid w:val="002B0E30"/>
    <w:rsid w:val="002B2925"/>
    <w:rsid w:val="002B4909"/>
    <w:rsid w:val="002C1011"/>
    <w:rsid w:val="002C55C2"/>
    <w:rsid w:val="002D5AF5"/>
    <w:rsid w:val="002D6DD1"/>
    <w:rsid w:val="002E023C"/>
    <w:rsid w:val="002E21C8"/>
    <w:rsid w:val="002E3C27"/>
    <w:rsid w:val="002F3885"/>
    <w:rsid w:val="00302F9F"/>
    <w:rsid w:val="003058A7"/>
    <w:rsid w:val="00306301"/>
    <w:rsid w:val="003105D7"/>
    <w:rsid w:val="0032033F"/>
    <w:rsid w:val="0032177B"/>
    <w:rsid w:val="00321802"/>
    <w:rsid w:val="00323B9B"/>
    <w:rsid w:val="00326D89"/>
    <w:rsid w:val="00333007"/>
    <w:rsid w:val="00333118"/>
    <w:rsid w:val="0033683A"/>
    <w:rsid w:val="0033780F"/>
    <w:rsid w:val="00347C20"/>
    <w:rsid w:val="00347D03"/>
    <w:rsid w:val="003525C2"/>
    <w:rsid w:val="0035760A"/>
    <w:rsid w:val="00376E82"/>
    <w:rsid w:val="003809F3"/>
    <w:rsid w:val="00390A12"/>
    <w:rsid w:val="00391099"/>
    <w:rsid w:val="003916C4"/>
    <w:rsid w:val="00397CA2"/>
    <w:rsid w:val="003A3C1D"/>
    <w:rsid w:val="003B0822"/>
    <w:rsid w:val="003B0F43"/>
    <w:rsid w:val="003B21EC"/>
    <w:rsid w:val="003B3F1E"/>
    <w:rsid w:val="003C0BA2"/>
    <w:rsid w:val="003C1AE9"/>
    <w:rsid w:val="003D0817"/>
    <w:rsid w:val="003D0D50"/>
    <w:rsid w:val="003D1F2F"/>
    <w:rsid w:val="003D4FE6"/>
    <w:rsid w:val="003E7321"/>
    <w:rsid w:val="003F3A4B"/>
    <w:rsid w:val="0040054F"/>
    <w:rsid w:val="00401932"/>
    <w:rsid w:val="00401AF8"/>
    <w:rsid w:val="00406C35"/>
    <w:rsid w:val="00411F5E"/>
    <w:rsid w:val="00420AD3"/>
    <w:rsid w:val="00433C9A"/>
    <w:rsid w:val="00456983"/>
    <w:rsid w:val="004624B2"/>
    <w:rsid w:val="0047067E"/>
    <w:rsid w:val="00470B1B"/>
    <w:rsid w:val="004731A7"/>
    <w:rsid w:val="00475A0E"/>
    <w:rsid w:val="004814A3"/>
    <w:rsid w:val="00491889"/>
    <w:rsid w:val="0049533E"/>
    <w:rsid w:val="004A20D9"/>
    <w:rsid w:val="004A742A"/>
    <w:rsid w:val="004B1501"/>
    <w:rsid w:val="004B246D"/>
    <w:rsid w:val="004B320A"/>
    <w:rsid w:val="004C7D4E"/>
    <w:rsid w:val="004D04C2"/>
    <w:rsid w:val="004D226D"/>
    <w:rsid w:val="004D2B01"/>
    <w:rsid w:val="004E3AED"/>
    <w:rsid w:val="004F42BE"/>
    <w:rsid w:val="004F5B75"/>
    <w:rsid w:val="00506888"/>
    <w:rsid w:val="005120EE"/>
    <w:rsid w:val="005148E3"/>
    <w:rsid w:val="00515DF2"/>
    <w:rsid w:val="00517AA4"/>
    <w:rsid w:val="00521970"/>
    <w:rsid w:val="00532650"/>
    <w:rsid w:val="00537B23"/>
    <w:rsid w:val="005423B3"/>
    <w:rsid w:val="00545461"/>
    <w:rsid w:val="005572A5"/>
    <w:rsid w:val="005578F7"/>
    <w:rsid w:val="00565A76"/>
    <w:rsid w:val="00566163"/>
    <w:rsid w:val="00566338"/>
    <w:rsid w:val="005708B9"/>
    <w:rsid w:val="00580753"/>
    <w:rsid w:val="00580D8B"/>
    <w:rsid w:val="00580F67"/>
    <w:rsid w:val="00584469"/>
    <w:rsid w:val="00586492"/>
    <w:rsid w:val="00586662"/>
    <w:rsid w:val="00591DF9"/>
    <w:rsid w:val="0059317B"/>
    <w:rsid w:val="00593185"/>
    <w:rsid w:val="00594395"/>
    <w:rsid w:val="0059682F"/>
    <w:rsid w:val="005A14BD"/>
    <w:rsid w:val="005A25A4"/>
    <w:rsid w:val="005A7057"/>
    <w:rsid w:val="005A7315"/>
    <w:rsid w:val="005B007F"/>
    <w:rsid w:val="005B0EAC"/>
    <w:rsid w:val="005B36A0"/>
    <w:rsid w:val="005C0C34"/>
    <w:rsid w:val="005C1FEB"/>
    <w:rsid w:val="005C6B68"/>
    <w:rsid w:val="005D1372"/>
    <w:rsid w:val="005D3052"/>
    <w:rsid w:val="005D4487"/>
    <w:rsid w:val="005E3C13"/>
    <w:rsid w:val="005E662D"/>
    <w:rsid w:val="005E6B57"/>
    <w:rsid w:val="005F480B"/>
    <w:rsid w:val="005F57C8"/>
    <w:rsid w:val="006006B4"/>
    <w:rsid w:val="00600D76"/>
    <w:rsid w:val="00603517"/>
    <w:rsid w:val="00611968"/>
    <w:rsid w:val="0061278C"/>
    <w:rsid w:val="00620336"/>
    <w:rsid w:val="00623814"/>
    <w:rsid w:val="006310E3"/>
    <w:rsid w:val="00631164"/>
    <w:rsid w:val="006316D2"/>
    <w:rsid w:val="0063606F"/>
    <w:rsid w:val="006407F4"/>
    <w:rsid w:val="006428D4"/>
    <w:rsid w:val="0064394A"/>
    <w:rsid w:val="00645564"/>
    <w:rsid w:val="00646DEE"/>
    <w:rsid w:val="00652349"/>
    <w:rsid w:val="00652A2E"/>
    <w:rsid w:val="00663CEB"/>
    <w:rsid w:val="00663CFA"/>
    <w:rsid w:val="00663F2F"/>
    <w:rsid w:val="0066505C"/>
    <w:rsid w:val="0066691D"/>
    <w:rsid w:val="0067280E"/>
    <w:rsid w:val="0068567E"/>
    <w:rsid w:val="006865A3"/>
    <w:rsid w:val="006A00D3"/>
    <w:rsid w:val="006A2A5C"/>
    <w:rsid w:val="006A2B1E"/>
    <w:rsid w:val="006A5B52"/>
    <w:rsid w:val="006A6CB5"/>
    <w:rsid w:val="006B003B"/>
    <w:rsid w:val="006B099E"/>
    <w:rsid w:val="006B0AEC"/>
    <w:rsid w:val="006B14A2"/>
    <w:rsid w:val="006B2D91"/>
    <w:rsid w:val="006B2E8B"/>
    <w:rsid w:val="006B3125"/>
    <w:rsid w:val="006C35EE"/>
    <w:rsid w:val="006C581B"/>
    <w:rsid w:val="006C691D"/>
    <w:rsid w:val="006D128D"/>
    <w:rsid w:val="006D4F25"/>
    <w:rsid w:val="006E0B7D"/>
    <w:rsid w:val="006E0ED7"/>
    <w:rsid w:val="006E16DB"/>
    <w:rsid w:val="006E3267"/>
    <w:rsid w:val="006F6F0C"/>
    <w:rsid w:val="006F7D8E"/>
    <w:rsid w:val="0070055F"/>
    <w:rsid w:val="007242A6"/>
    <w:rsid w:val="00731252"/>
    <w:rsid w:val="00734491"/>
    <w:rsid w:val="0073628A"/>
    <w:rsid w:val="00736ED8"/>
    <w:rsid w:val="0074037F"/>
    <w:rsid w:val="0074403D"/>
    <w:rsid w:val="00747485"/>
    <w:rsid w:val="007517A3"/>
    <w:rsid w:val="007536B8"/>
    <w:rsid w:val="00762510"/>
    <w:rsid w:val="00764B05"/>
    <w:rsid w:val="00775605"/>
    <w:rsid w:val="0078319B"/>
    <w:rsid w:val="007914DC"/>
    <w:rsid w:val="0079268B"/>
    <w:rsid w:val="007972A5"/>
    <w:rsid w:val="00797EEE"/>
    <w:rsid w:val="007A0C12"/>
    <w:rsid w:val="007A16AB"/>
    <w:rsid w:val="007A1C5D"/>
    <w:rsid w:val="007A35F8"/>
    <w:rsid w:val="007A37C8"/>
    <w:rsid w:val="007A3BD1"/>
    <w:rsid w:val="007B2FFC"/>
    <w:rsid w:val="007B40FA"/>
    <w:rsid w:val="007B6046"/>
    <w:rsid w:val="007D253C"/>
    <w:rsid w:val="007D2D93"/>
    <w:rsid w:val="007D429F"/>
    <w:rsid w:val="007D741F"/>
    <w:rsid w:val="007D7CD4"/>
    <w:rsid w:val="007E058F"/>
    <w:rsid w:val="007E0CF1"/>
    <w:rsid w:val="007E69CE"/>
    <w:rsid w:val="007F2197"/>
    <w:rsid w:val="00806A77"/>
    <w:rsid w:val="0081128A"/>
    <w:rsid w:val="00811732"/>
    <w:rsid w:val="008148C7"/>
    <w:rsid w:val="00816DBC"/>
    <w:rsid w:val="00817192"/>
    <w:rsid w:val="0082298B"/>
    <w:rsid w:val="00822F0A"/>
    <w:rsid w:val="00827163"/>
    <w:rsid w:val="00832886"/>
    <w:rsid w:val="0083418D"/>
    <w:rsid w:val="00835719"/>
    <w:rsid w:val="00835D8C"/>
    <w:rsid w:val="00836857"/>
    <w:rsid w:val="0083795B"/>
    <w:rsid w:val="00844CA9"/>
    <w:rsid w:val="00851AF1"/>
    <w:rsid w:val="00856DA5"/>
    <w:rsid w:val="00862B23"/>
    <w:rsid w:val="00863144"/>
    <w:rsid w:val="00863BA9"/>
    <w:rsid w:val="00883BB3"/>
    <w:rsid w:val="00890768"/>
    <w:rsid w:val="00891793"/>
    <w:rsid w:val="00893EB4"/>
    <w:rsid w:val="00897ABC"/>
    <w:rsid w:val="008A4328"/>
    <w:rsid w:val="008A5220"/>
    <w:rsid w:val="008B5CE6"/>
    <w:rsid w:val="008C3FDE"/>
    <w:rsid w:val="008C54BD"/>
    <w:rsid w:val="008C7800"/>
    <w:rsid w:val="008D1D43"/>
    <w:rsid w:val="008D347C"/>
    <w:rsid w:val="008D67B5"/>
    <w:rsid w:val="008E36E8"/>
    <w:rsid w:val="008F083C"/>
    <w:rsid w:val="008F293D"/>
    <w:rsid w:val="008F3C8A"/>
    <w:rsid w:val="009032B9"/>
    <w:rsid w:val="00906F7D"/>
    <w:rsid w:val="00914221"/>
    <w:rsid w:val="009147F0"/>
    <w:rsid w:val="00916B48"/>
    <w:rsid w:val="00916F74"/>
    <w:rsid w:val="009246AB"/>
    <w:rsid w:val="00924B70"/>
    <w:rsid w:val="00931DD9"/>
    <w:rsid w:val="009348C7"/>
    <w:rsid w:val="00942F35"/>
    <w:rsid w:val="00943F45"/>
    <w:rsid w:val="0094414D"/>
    <w:rsid w:val="009503D0"/>
    <w:rsid w:val="00951B82"/>
    <w:rsid w:val="00954151"/>
    <w:rsid w:val="00955E35"/>
    <w:rsid w:val="009608C1"/>
    <w:rsid w:val="00962937"/>
    <w:rsid w:val="00971550"/>
    <w:rsid w:val="00971BDC"/>
    <w:rsid w:val="00971DE6"/>
    <w:rsid w:val="00972632"/>
    <w:rsid w:val="0098388B"/>
    <w:rsid w:val="0099031A"/>
    <w:rsid w:val="009A2B51"/>
    <w:rsid w:val="009A3DCA"/>
    <w:rsid w:val="009A6224"/>
    <w:rsid w:val="009A6E78"/>
    <w:rsid w:val="009B4095"/>
    <w:rsid w:val="009B4435"/>
    <w:rsid w:val="009C0839"/>
    <w:rsid w:val="009C15EB"/>
    <w:rsid w:val="009C16C9"/>
    <w:rsid w:val="009C3AEE"/>
    <w:rsid w:val="009C7920"/>
    <w:rsid w:val="009D72F8"/>
    <w:rsid w:val="009E0EAC"/>
    <w:rsid w:val="009F46ED"/>
    <w:rsid w:val="009F575B"/>
    <w:rsid w:val="00A012EC"/>
    <w:rsid w:val="00A05D23"/>
    <w:rsid w:val="00A24699"/>
    <w:rsid w:val="00A315F5"/>
    <w:rsid w:val="00A32A91"/>
    <w:rsid w:val="00A4473A"/>
    <w:rsid w:val="00A47465"/>
    <w:rsid w:val="00A55635"/>
    <w:rsid w:val="00A55CE0"/>
    <w:rsid w:val="00A56FD2"/>
    <w:rsid w:val="00A6208A"/>
    <w:rsid w:val="00A7345F"/>
    <w:rsid w:val="00A74B31"/>
    <w:rsid w:val="00A771EB"/>
    <w:rsid w:val="00A8438D"/>
    <w:rsid w:val="00A85E2B"/>
    <w:rsid w:val="00A91961"/>
    <w:rsid w:val="00A943D9"/>
    <w:rsid w:val="00AA2411"/>
    <w:rsid w:val="00AB1C72"/>
    <w:rsid w:val="00AB5723"/>
    <w:rsid w:val="00AB5D3C"/>
    <w:rsid w:val="00AC0F34"/>
    <w:rsid w:val="00AC2C3E"/>
    <w:rsid w:val="00AC2C8C"/>
    <w:rsid w:val="00AC2F96"/>
    <w:rsid w:val="00AD1542"/>
    <w:rsid w:val="00AD2D33"/>
    <w:rsid w:val="00AE68B6"/>
    <w:rsid w:val="00AF0427"/>
    <w:rsid w:val="00B02A1E"/>
    <w:rsid w:val="00B06342"/>
    <w:rsid w:val="00B0669E"/>
    <w:rsid w:val="00B10373"/>
    <w:rsid w:val="00B21840"/>
    <w:rsid w:val="00B24DC2"/>
    <w:rsid w:val="00B27180"/>
    <w:rsid w:val="00B34663"/>
    <w:rsid w:val="00B41766"/>
    <w:rsid w:val="00B42899"/>
    <w:rsid w:val="00B443EC"/>
    <w:rsid w:val="00B55BAE"/>
    <w:rsid w:val="00B57736"/>
    <w:rsid w:val="00B613C3"/>
    <w:rsid w:val="00B61643"/>
    <w:rsid w:val="00B64F05"/>
    <w:rsid w:val="00B67575"/>
    <w:rsid w:val="00B825C0"/>
    <w:rsid w:val="00B92615"/>
    <w:rsid w:val="00BA016D"/>
    <w:rsid w:val="00BA12CD"/>
    <w:rsid w:val="00BA3818"/>
    <w:rsid w:val="00BA4F10"/>
    <w:rsid w:val="00BA53B6"/>
    <w:rsid w:val="00BB3DA2"/>
    <w:rsid w:val="00BC23CF"/>
    <w:rsid w:val="00BC351F"/>
    <w:rsid w:val="00BC54B5"/>
    <w:rsid w:val="00BD2CB1"/>
    <w:rsid w:val="00BD5CC4"/>
    <w:rsid w:val="00BE2737"/>
    <w:rsid w:val="00BE4194"/>
    <w:rsid w:val="00BE5042"/>
    <w:rsid w:val="00BE7ACA"/>
    <w:rsid w:val="00BF073A"/>
    <w:rsid w:val="00BF20E2"/>
    <w:rsid w:val="00BF2C1D"/>
    <w:rsid w:val="00BF41CB"/>
    <w:rsid w:val="00BF7157"/>
    <w:rsid w:val="00C02DCB"/>
    <w:rsid w:val="00C03000"/>
    <w:rsid w:val="00C038C9"/>
    <w:rsid w:val="00C058F0"/>
    <w:rsid w:val="00C064CD"/>
    <w:rsid w:val="00C1025A"/>
    <w:rsid w:val="00C125DF"/>
    <w:rsid w:val="00C14855"/>
    <w:rsid w:val="00C17FC3"/>
    <w:rsid w:val="00C2096E"/>
    <w:rsid w:val="00C218E1"/>
    <w:rsid w:val="00C222D0"/>
    <w:rsid w:val="00C3508B"/>
    <w:rsid w:val="00C44A0F"/>
    <w:rsid w:val="00C45516"/>
    <w:rsid w:val="00C576EF"/>
    <w:rsid w:val="00C63CE5"/>
    <w:rsid w:val="00C7043D"/>
    <w:rsid w:val="00C70959"/>
    <w:rsid w:val="00C73272"/>
    <w:rsid w:val="00C73ADB"/>
    <w:rsid w:val="00C75327"/>
    <w:rsid w:val="00C8476B"/>
    <w:rsid w:val="00C8547D"/>
    <w:rsid w:val="00C952FC"/>
    <w:rsid w:val="00C964D5"/>
    <w:rsid w:val="00CA0D34"/>
    <w:rsid w:val="00CA2AD2"/>
    <w:rsid w:val="00CA33DE"/>
    <w:rsid w:val="00CA5682"/>
    <w:rsid w:val="00CB0871"/>
    <w:rsid w:val="00CB622D"/>
    <w:rsid w:val="00CC0E49"/>
    <w:rsid w:val="00CC3466"/>
    <w:rsid w:val="00CC4088"/>
    <w:rsid w:val="00CC457D"/>
    <w:rsid w:val="00CC4770"/>
    <w:rsid w:val="00CC59C6"/>
    <w:rsid w:val="00CD2344"/>
    <w:rsid w:val="00CE2A85"/>
    <w:rsid w:val="00CE6CD0"/>
    <w:rsid w:val="00CF1F2B"/>
    <w:rsid w:val="00CF5185"/>
    <w:rsid w:val="00CF538C"/>
    <w:rsid w:val="00D008E9"/>
    <w:rsid w:val="00D04064"/>
    <w:rsid w:val="00D042F8"/>
    <w:rsid w:val="00D1054D"/>
    <w:rsid w:val="00D124CA"/>
    <w:rsid w:val="00D174A2"/>
    <w:rsid w:val="00D17E9D"/>
    <w:rsid w:val="00D31C94"/>
    <w:rsid w:val="00D3451E"/>
    <w:rsid w:val="00D36C80"/>
    <w:rsid w:val="00D37856"/>
    <w:rsid w:val="00D528D1"/>
    <w:rsid w:val="00D531D1"/>
    <w:rsid w:val="00D55D1F"/>
    <w:rsid w:val="00D71629"/>
    <w:rsid w:val="00D73A0D"/>
    <w:rsid w:val="00D778A0"/>
    <w:rsid w:val="00D77B45"/>
    <w:rsid w:val="00D90031"/>
    <w:rsid w:val="00D94675"/>
    <w:rsid w:val="00D9481A"/>
    <w:rsid w:val="00D95C5C"/>
    <w:rsid w:val="00D95EEF"/>
    <w:rsid w:val="00D96DA5"/>
    <w:rsid w:val="00DA6DBC"/>
    <w:rsid w:val="00DB2942"/>
    <w:rsid w:val="00DB55AA"/>
    <w:rsid w:val="00DC0EEF"/>
    <w:rsid w:val="00DC4E8B"/>
    <w:rsid w:val="00DD38E2"/>
    <w:rsid w:val="00DE3D18"/>
    <w:rsid w:val="00DE69D6"/>
    <w:rsid w:val="00DF036B"/>
    <w:rsid w:val="00DF22F3"/>
    <w:rsid w:val="00DF5D04"/>
    <w:rsid w:val="00E005B8"/>
    <w:rsid w:val="00E00F36"/>
    <w:rsid w:val="00E1397A"/>
    <w:rsid w:val="00E16DA4"/>
    <w:rsid w:val="00E213CE"/>
    <w:rsid w:val="00E240E8"/>
    <w:rsid w:val="00E25202"/>
    <w:rsid w:val="00E304AB"/>
    <w:rsid w:val="00E31EE7"/>
    <w:rsid w:val="00E340DF"/>
    <w:rsid w:val="00E34F17"/>
    <w:rsid w:val="00E40D2D"/>
    <w:rsid w:val="00E46DBA"/>
    <w:rsid w:val="00E50D6D"/>
    <w:rsid w:val="00E517C7"/>
    <w:rsid w:val="00E51AA5"/>
    <w:rsid w:val="00E52781"/>
    <w:rsid w:val="00E55CD6"/>
    <w:rsid w:val="00E623BD"/>
    <w:rsid w:val="00E6722A"/>
    <w:rsid w:val="00E71B4A"/>
    <w:rsid w:val="00E73C0C"/>
    <w:rsid w:val="00E73FE4"/>
    <w:rsid w:val="00E86680"/>
    <w:rsid w:val="00E874B2"/>
    <w:rsid w:val="00EA1B54"/>
    <w:rsid w:val="00EA75D6"/>
    <w:rsid w:val="00EA7E42"/>
    <w:rsid w:val="00EB028C"/>
    <w:rsid w:val="00EB4A48"/>
    <w:rsid w:val="00EB4D35"/>
    <w:rsid w:val="00EC39D7"/>
    <w:rsid w:val="00EC3DE1"/>
    <w:rsid w:val="00EE1E03"/>
    <w:rsid w:val="00EE529C"/>
    <w:rsid w:val="00EE6ABE"/>
    <w:rsid w:val="00EF343C"/>
    <w:rsid w:val="00EF5E3F"/>
    <w:rsid w:val="00EF6020"/>
    <w:rsid w:val="00F01EDE"/>
    <w:rsid w:val="00F07C91"/>
    <w:rsid w:val="00F101B8"/>
    <w:rsid w:val="00F107D3"/>
    <w:rsid w:val="00F1203E"/>
    <w:rsid w:val="00F14E62"/>
    <w:rsid w:val="00F15B79"/>
    <w:rsid w:val="00F16BB1"/>
    <w:rsid w:val="00F2211C"/>
    <w:rsid w:val="00F25009"/>
    <w:rsid w:val="00F272D2"/>
    <w:rsid w:val="00F31879"/>
    <w:rsid w:val="00F33F3C"/>
    <w:rsid w:val="00F40BC6"/>
    <w:rsid w:val="00F41515"/>
    <w:rsid w:val="00F41592"/>
    <w:rsid w:val="00F4485B"/>
    <w:rsid w:val="00F51CB2"/>
    <w:rsid w:val="00F5261A"/>
    <w:rsid w:val="00F55122"/>
    <w:rsid w:val="00F60345"/>
    <w:rsid w:val="00F67397"/>
    <w:rsid w:val="00F70A99"/>
    <w:rsid w:val="00F73EF8"/>
    <w:rsid w:val="00F75370"/>
    <w:rsid w:val="00F828C8"/>
    <w:rsid w:val="00F90A2F"/>
    <w:rsid w:val="00F94A62"/>
    <w:rsid w:val="00F96E3B"/>
    <w:rsid w:val="00FA0D9D"/>
    <w:rsid w:val="00FA6D2F"/>
    <w:rsid w:val="00FB1180"/>
    <w:rsid w:val="00FB47C0"/>
    <w:rsid w:val="00FB6C87"/>
    <w:rsid w:val="00FC1948"/>
    <w:rsid w:val="00FC2E0E"/>
    <w:rsid w:val="00FD5274"/>
    <w:rsid w:val="00FD581E"/>
    <w:rsid w:val="00FD6E59"/>
    <w:rsid w:val="00FE6A51"/>
    <w:rsid w:val="00FE739E"/>
    <w:rsid w:val="00FF083C"/>
    <w:rsid w:val="00FF2717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2D470"/>
  <w15:chartTrackingRefBased/>
  <w15:docId w15:val="{83C7ACC9-995E-4B5A-8D39-BDE770C6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75B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Naglaeno">
    <w:name w:val="Strong"/>
    <w:qFormat/>
    <w:rsid w:val="009F575B"/>
    <w:rPr>
      <w:b/>
      <w:bCs/>
    </w:rPr>
  </w:style>
  <w:style w:type="table" w:styleId="Reetkatablice">
    <w:name w:val="Table Grid"/>
    <w:basedOn w:val="Obinatablica"/>
    <w:rsid w:val="009F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E46DB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E46DB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DC4E8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DC4E8B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DC4E8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C4E8B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5E66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056F-5217-44AE-9175-73C1382C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2306</Words>
  <Characters>13145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RAZDJEL:</vt:lpstr>
      <vt:lpstr>RAZDJEL:</vt:lpstr>
    </vt:vector>
  </TitlesOfParts>
  <Company>Splitsko Dalmatinska županija</Company>
  <LinksUpToDate>false</LinksUpToDate>
  <CharactersWithSpaces>15421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RAZDJEL:</dc:title>
  <dc:subject/>
  <dc:creator>nincevica</dc:creator>
  <cp:keywords/>
  <cp:lastModifiedBy>Marko Polak</cp:lastModifiedBy>
  <cp:revision>2</cp:revision>
  <cp:lastPrinted>2023-05-24T08:54:00Z</cp:lastPrinted>
  <dcterms:created xsi:type="dcterms:W3CDTF">2023-12-26T11:01:00Z</dcterms:created>
  <dcterms:modified xsi:type="dcterms:W3CDTF">2023-12-26T11:01:00Z</dcterms:modified>
</cp:coreProperties>
</file>